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DBE03" w14:textId="77777777" w:rsidR="00A77B3E" w:rsidRDefault="00CE277B">
      <w:pPr>
        <w:jc w:val="center"/>
        <w:rPr>
          <w:rFonts w:ascii="Arial" w:eastAsia="Arial" w:hAnsi="Arial" w:cs="Arial"/>
          <w:b/>
          <w:caps/>
          <w:sz w:val="24"/>
        </w:rPr>
      </w:pPr>
      <w:bookmarkStart w:id="0" w:name="_GoBack"/>
      <w:bookmarkEnd w:id="0"/>
      <w:r>
        <w:rPr>
          <w:rFonts w:ascii="Arial" w:eastAsia="Arial" w:hAnsi="Arial" w:cs="Arial"/>
          <w:b/>
          <w:caps/>
          <w:sz w:val="24"/>
        </w:rPr>
        <w:t>Uchwała Nr XXIV/253/25</w:t>
      </w:r>
      <w:r>
        <w:rPr>
          <w:rFonts w:ascii="Arial" w:eastAsia="Arial" w:hAnsi="Arial" w:cs="Arial"/>
          <w:b/>
          <w:caps/>
          <w:sz w:val="24"/>
        </w:rPr>
        <w:br/>
        <w:t>Rady Miasta Piotrkowa Trybunalskiego</w:t>
      </w:r>
    </w:p>
    <w:p w14:paraId="0A9F3B41" w14:textId="77777777" w:rsidR="00A77B3E" w:rsidRDefault="00CE277B">
      <w:pPr>
        <w:spacing w:before="280" w:after="280"/>
        <w:jc w:val="center"/>
        <w:rPr>
          <w:rFonts w:ascii="Arial" w:eastAsia="Arial" w:hAnsi="Arial" w:cs="Arial"/>
          <w:b/>
          <w:caps/>
          <w:sz w:val="24"/>
        </w:rPr>
      </w:pPr>
      <w:r>
        <w:rPr>
          <w:rFonts w:ascii="Arial" w:eastAsia="Arial" w:hAnsi="Arial" w:cs="Arial"/>
          <w:sz w:val="24"/>
        </w:rPr>
        <w:t>z dnia 29 września 2025 r.</w:t>
      </w:r>
    </w:p>
    <w:p w14:paraId="19B0EF01" w14:textId="77777777" w:rsidR="00A77B3E" w:rsidRDefault="00CE277B">
      <w:pPr>
        <w:keepNext/>
        <w:spacing w:after="480"/>
        <w:jc w:val="center"/>
        <w:rPr>
          <w:rFonts w:ascii="Arial" w:eastAsia="Arial" w:hAnsi="Arial" w:cs="Arial"/>
          <w:sz w:val="24"/>
        </w:rPr>
      </w:pPr>
      <w:r>
        <w:rPr>
          <w:rFonts w:ascii="Arial" w:eastAsia="Arial" w:hAnsi="Arial" w:cs="Arial"/>
          <w:b/>
          <w:sz w:val="24"/>
        </w:rPr>
        <w:t>w sprawie skargi na działania Prezydenta Miasta Piotrkowa Trybunalskiego</w:t>
      </w:r>
    </w:p>
    <w:p w14:paraId="33CDAA4B" w14:textId="77777777" w:rsidR="00A77B3E" w:rsidRDefault="00CE277B">
      <w:pPr>
        <w:keepLines/>
        <w:spacing w:before="120" w:after="120"/>
        <w:ind w:firstLine="227"/>
      </w:pPr>
      <w:r>
        <w:t>Na podstawie art. 18 ust. 2 pkt 15 ustawy z dnia 8 marca 1990 roku o samorządzie gminnym (Dz. U. z 2025 r. poz. 1153) oraz art. 229 pkt 3, art. 237 § 3 ustawy z dnia 14 czerwca 1960 roku Kodeks postępowania administracyjnego (Dz. U. z 2024 r. poz. 572; zm.: Dz. U. z 2025 r. poz. 769) uchwala się, co następuje:</w:t>
      </w:r>
    </w:p>
    <w:p w14:paraId="740ACA2C" w14:textId="10E32031" w:rsidR="00A77B3E" w:rsidRDefault="00CE277B">
      <w:pPr>
        <w:keepLines/>
        <w:ind w:firstLine="340"/>
      </w:pPr>
      <w:r>
        <w:rPr>
          <w:b/>
        </w:rPr>
        <w:t>§ 1. </w:t>
      </w:r>
      <w:r>
        <w:t xml:space="preserve">Uznaje się,  że skarga z dnia 07.09.20205 r. Pani  </w:t>
      </w:r>
      <w:r w:rsidR="00625A9C">
        <w:t>(</w:t>
      </w:r>
      <w:r w:rsidR="00625A9C" w:rsidRPr="00F228E5">
        <w:rPr>
          <w:i/>
          <w:iCs/>
          <w:color w:val="000000"/>
          <w:u w:color="000000"/>
        </w:rPr>
        <w:t>dokonano anonimizacji</w:t>
      </w:r>
      <w:r w:rsidR="00625A9C">
        <w:rPr>
          <w:i/>
          <w:iCs/>
          <w:color w:val="000000"/>
          <w:u w:color="000000"/>
        </w:rPr>
        <w:t xml:space="preserve"> danych)</w:t>
      </w:r>
      <w:r w:rsidR="00625A9C">
        <w:t xml:space="preserve"> </w:t>
      </w:r>
      <w:r>
        <w:t>na działania Prezydenta Miasta Piotrkowa Trybunalskiego jest bezzasadna z przyczyn przedstawionych w uzasadnieniu, stanowiącym załącznik do uchwały, będącym jednocześnie zawiadomieniem o sposobie załatwienia skargi.</w:t>
      </w:r>
    </w:p>
    <w:p w14:paraId="5CFAEC66" w14:textId="77777777" w:rsidR="00A77B3E" w:rsidRDefault="00CE277B">
      <w:pPr>
        <w:keepLines/>
        <w:ind w:firstLine="340"/>
      </w:pPr>
      <w:r>
        <w:rPr>
          <w:b/>
        </w:rPr>
        <w:t>§ 2. </w:t>
      </w:r>
      <w:r>
        <w:t>Zobowiązuje się Przewodniczącego Rady Miasta do zawiadomienia skarżącej o sposobie załatwienia skargi.</w:t>
      </w:r>
    </w:p>
    <w:p w14:paraId="214BECFC" w14:textId="77777777" w:rsidR="00A77B3E" w:rsidRDefault="00CE277B">
      <w:pPr>
        <w:keepNext/>
        <w:keepLines/>
        <w:ind w:firstLine="340"/>
      </w:pPr>
      <w:r>
        <w:rPr>
          <w:b/>
        </w:rPr>
        <w:t>§ 3. </w:t>
      </w:r>
      <w:r>
        <w:t>Uchwała wchodzi w życie z dniem podjęcia.</w:t>
      </w:r>
    </w:p>
    <w:p w14:paraId="78CF308C" w14:textId="77777777" w:rsidR="00A77B3E" w:rsidRDefault="00A77B3E">
      <w:pPr>
        <w:keepNext/>
        <w:keepLines/>
        <w:ind w:firstLine="340"/>
      </w:pPr>
    </w:p>
    <w:p w14:paraId="3F86631F" w14:textId="77777777" w:rsidR="00A77B3E" w:rsidRDefault="00CE277B">
      <w:pPr>
        <w:keepNext/>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3C1798" w14:paraId="264F0750" w14:textId="77777777">
        <w:tc>
          <w:tcPr>
            <w:tcW w:w="2500" w:type="pct"/>
            <w:tcMar>
              <w:top w:w="0" w:type="dxa"/>
              <w:left w:w="0" w:type="dxa"/>
              <w:bottom w:w="0" w:type="dxa"/>
              <w:right w:w="0" w:type="dxa"/>
            </w:tcMar>
            <w:hideMark/>
          </w:tcPr>
          <w:p w14:paraId="21956445" w14:textId="77777777" w:rsidR="003C1798" w:rsidRDefault="003C1798">
            <w:pPr>
              <w:keepNext/>
              <w:keepLines/>
              <w:jc w:val="left"/>
              <w:rPr>
                <w:color w:val="000000"/>
                <w:szCs w:val="22"/>
              </w:rPr>
            </w:pPr>
          </w:p>
        </w:tc>
        <w:tc>
          <w:tcPr>
            <w:tcW w:w="2500" w:type="pct"/>
            <w:tcMar>
              <w:top w:w="0" w:type="dxa"/>
              <w:left w:w="0" w:type="dxa"/>
              <w:bottom w:w="0" w:type="dxa"/>
              <w:right w:w="0" w:type="dxa"/>
            </w:tcMar>
            <w:hideMark/>
          </w:tcPr>
          <w:p w14:paraId="7B3473E5" w14:textId="77777777" w:rsidR="003C1798" w:rsidRDefault="00CE277B">
            <w:pPr>
              <w:keepNext/>
              <w:keepLines/>
              <w:spacing w:before="560" w:after="560"/>
              <w:ind w:left="1134" w:right="1134"/>
              <w:jc w:val="center"/>
              <w:rPr>
                <w:color w:val="000000"/>
                <w:szCs w:val="22"/>
              </w:rPr>
            </w:pPr>
            <w:r>
              <w:rPr>
                <w:color w:val="000000"/>
                <w:szCs w:val="22"/>
              </w:rPr>
              <w:t>Przewodniczący Rady Miasta</w:t>
            </w:r>
            <w:r>
              <w:rPr>
                <w:color w:val="000000"/>
                <w:szCs w:val="22"/>
              </w:rPr>
              <w:br/>
            </w:r>
            <w:r>
              <w:rPr>
                <w:color w:val="000000"/>
                <w:szCs w:val="22"/>
              </w:rPr>
              <w:br/>
            </w:r>
            <w:r>
              <w:rPr>
                <w:color w:val="000000"/>
                <w:szCs w:val="22"/>
              </w:rPr>
              <w:br/>
            </w:r>
            <w:r>
              <w:rPr>
                <w:b/>
              </w:rPr>
              <w:t>Mariusz Staszek</w:t>
            </w:r>
          </w:p>
        </w:tc>
      </w:tr>
    </w:tbl>
    <w:p w14:paraId="40D849ED" w14:textId="77777777" w:rsidR="00A77B3E" w:rsidRDefault="00A77B3E">
      <w:pPr>
        <w:keepNext/>
        <w:sectPr w:rsidR="00A77B3E">
          <w:footerReference w:type="default" r:id="rId6"/>
          <w:endnotePr>
            <w:numFmt w:val="decimal"/>
          </w:endnotePr>
          <w:pgSz w:w="11906" w:h="16838"/>
          <w:pgMar w:top="850" w:right="850" w:bottom="1417" w:left="850" w:header="708" w:footer="708" w:gutter="0"/>
          <w:cols w:space="708"/>
          <w:docGrid w:linePitch="360"/>
        </w:sectPr>
      </w:pPr>
    </w:p>
    <w:p w14:paraId="4498D5F9" w14:textId="77777777" w:rsidR="00A77B3E" w:rsidRDefault="00CE277B">
      <w:pPr>
        <w:spacing w:before="120" w:after="120" w:line="360" w:lineRule="auto"/>
        <w:ind w:left="5892"/>
        <w:jc w:val="left"/>
      </w:pPr>
      <w:r>
        <w:lastRenderedPageBreak/>
        <w:fldChar w:fldCharType="begin"/>
      </w:r>
      <w:r>
        <w:fldChar w:fldCharType="end"/>
      </w:r>
      <w:r>
        <w:t>Załącznik do uchwały Nr XXIV/253/25</w:t>
      </w:r>
      <w:r>
        <w:br/>
        <w:t>Rady Miasta Piotrkowa Trybunalskiego</w:t>
      </w:r>
      <w:r>
        <w:br/>
        <w:t>z dnia 29 września 2025 r.</w:t>
      </w:r>
    </w:p>
    <w:p w14:paraId="3655993C" w14:textId="77777777" w:rsidR="00A77B3E" w:rsidRDefault="00CE277B">
      <w:pPr>
        <w:spacing w:before="120" w:after="120" w:line="360" w:lineRule="auto"/>
        <w:jc w:val="center"/>
        <w:rPr>
          <w:spacing w:val="20"/>
        </w:rPr>
      </w:pPr>
      <w:r>
        <w:rPr>
          <w:b/>
          <w:spacing w:val="20"/>
        </w:rPr>
        <w:t>Uzasadnienie</w:t>
      </w:r>
    </w:p>
    <w:p w14:paraId="0CE45C3B" w14:textId="552312B5" w:rsidR="00A77B3E" w:rsidRDefault="00CE277B">
      <w:pPr>
        <w:spacing w:before="120" w:after="120"/>
        <w:ind w:left="283" w:firstLine="227"/>
      </w:pPr>
      <w:r>
        <w:t xml:space="preserve">  Do Rady Miasta Piotrkowa Trybunalskiego wpłynęła w dniu 9 września 2025 r. skarga Pani </w:t>
      </w:r>
      <w:r w:rsidR="00625A9C">
        <w:t>(</w:t>
      </w:r>
      <w:r w:rsidR="00625A9C" w:rsidRPr="00F228E5">
        <w:rPr>
          <w:i/>
          <w:iCs/>
          <w:color w:val="000000"/>
          <w:u w:color="000000"/>
        </w:rPr>
        <w:t>dokonano anonimizacji</w:t>
      </w:r>
      <w:r w:rsidR="00625A9C">
        <w:rPr>
          <w:i/>
          <w:iCs/>
          <w:color w:val="000000"/>
          <w:u w:color="000000"/>
        </w:rPr>
        <w:t xml:space="preserve"> danych)</w:t>
      </w:r>
      <w:r w:rsidR="00625A9C">
        <w:t xml:space="preserve"> </w:t>
      </w:r>
      <w:r>
        <w:t>na działania Prezydenta Miasta Piotrkowa Trybunalskiego w sprawie wprowadzenia, w związku z modernizacją ulicy Jeziornej, czasowej organizacji ruchu wyznaczeniu trasy objazdu ulicą Sasanek między ulicą Świeżą i ulicą Liliową.</w:t>
      </w:r>
    </w:p>
    <w:p w14:paraId="2FB2F736" w14:textId="4590FC74" w:rsidR="00A77B3E" w:rsidRDefault="00CE277B">
      <w:pPr>
        <w:spacing w:before="120" w:after="120"/>
        <w:ind w:left="283" w:firstLine="227"/>
      </w:pPr>
      <w:r>
        <w:t xml:space="preserve">W skardze Pani </w:t>
      </w:r>
      <w:r w:rsidR="00625A9C" w:rsidRPr="00F228E5">
        <w:rPr>
          <w:i/>
          <w:iCs/>
          <w:color w:val="000000"/>
          <w:u w:color="000000"/>
        </w:rPr>
        <w:t>dokonano anonimizacji</w:t>
      </w:r>
      <w:r w:rsidR="00625A9C">
        <w:rPr>
          <w:i/>
          <w:iCs/>
          <w:color w:val="000000"/>
          <w:u w:color="000000"/>
        </w:rPr>
        <w:t xml:space="preserve"> danych</w:t>
      </w:r>
      <w:r w:rsidR="00625A9C">
        <w:t xml:space="preserve"> </w:t>
      </w:r>
      <w:r>
        <w:t>podnosi, iż:</w:t>
      </w:r>
    </w:p>
    <w:p w14:paraId="7FC299CC" w14:textId="77777777" w:rsidR="00A77B3E" w:rsidRDefault="00CE277B">
      <w:pPr>
        <w:spacing w:before="120" w:after="120"/>
        <w:ind w:left="283" w:firstLine="227"/>
      </w:pPr>
      <w:r>
        <w:t>„(…) Aby wjechać na posesję niezbędne jest bowiem zatrzymanie auta oraz otworzenie bramy, co wymaga czasu; zaś do chorej sąsiadki często przyjeżdżają opiekunowie, służby medyczne i rehabilitanci, którzy muszą czasowo zatrzymać auto naruszając ten zakaz. W piśmie wniesionym 11 sierpnia br. zwróciłam się do Prezydenta Miasta o przeniesienie objazdu z ulicy Sasanek na ww. odcinku – na ulicę Rusałki, która na tym odcinku jest znacznie szersza i ma szerokie pobocza, co pozwoliłoby na rezygnację z zakazów, a więc na uniknięcie odpowiedzialności za naruszenie zakazu zatrzymania auta.”</w:t>
      </w:r>
    </w:p>
    <w:p w14:paraId="67931660" w14:textId="77777777" w:rsidR="00A77B3E" w:rsidRDefault="00CE277B">
      <w:pPr>
        <w:spacing w:before="120" w:after="120"/>
        <w:ind w:left="283" w:firstLine="227"/>
      </w:pPr>
      <w:r>
        <w:t>Przewodniczący Rady Miasta przekazał skargę do Komisji Skarg, Wniosków i Petycji, celem jej rozpatrzenia, w tym zbadania zarzutów i przeanalizowania wyjaśnień w niniejszej sprawie oraz przygotowania i przedstawienia Radzie Miasta Piotrkowa Trybunalskiego opinii w przedmiocie zasadności skargi wraz ze stosownym projektem uchwały.</w:t>
      </w:r>
    </w:p>
    <w:p w14:paraId="10CE570A" w14:textId="77777777" w:rsidR="00A77B3E" w:rsidRDefault="00CE277B">
      <w:pPr>
        <w:spacing w:before="120" w:after="120"/>
        <w:ind w:left="283" w:firstLine="227"/>
      </w:pPr>
      <w:r>
        <w:t>Komisja Skarg, Wniosków i Petycji Rady Miasta Piotrkowa Trybunalskiego, na posiedzeniu w dniu 24 września 2025 r. zapoznała się ze skargą, wysłuchała wyjaśnień osób uczestniczących w posiedzeniu. Zastępca Dyrektora Biura Rozwoju Miasta i Inwestycji Urzędu Miasta Piotrkowa Trybunalskiego wyjaśniła, iż projektowanie inwestycji rozbudowy ul. Jeziornej trwało od maja 2022 r. do września 2024 r.  Po rozstrzygnięciu przetargu firma wykonawcza (PEUK)  musiała zaktualizować  organizację ruchu, co też uczyniła z początkiem sierpnia 2025 r. Nie była to znaczna różnica miedzy jedną a drugą organizacją ruchu. Dotyczyła wprowadzenia dodatkowego znaku zakazu zatrzymywania się. Same trasy przejazdu i objazdu przede wszystkim komunikacji miejskiej były od samego początku uzgodnione z ZDiUM i MZK.</w:t>
      </w:r>
    </w:p>
    <w:p w14:paraId="56EDDF44" w14:textId="77777777" w:rsidR="00A77B3E" w:rsidRDefault="00CE277B">
      <w:pPr>
        <w:spacing w:before="120" w:after="120"/>
        <w:ind w:left="283" w:firstLine="227"/>
      </w:pPr>
      <w:r>
        <w:t>Ponadto Komisja zapoznała się z pisemnymi wyjaśnieniami Pierwszego Zastępcy Prezydenta Miasta Pana Piotra Kulbata z dnia 24 września 2025 r.  z których wynika, że zatrzymanie w celu wjazdu na posesję (wynikające z warunków ruchu - lokalizacji zjazdów w ciągu przedmiotowych ulic) w nie stanowi naruszenia, zgodnie z poniższymi zapisami, zakazu zatrzymywania się wyrażonego znakiem B-36:</w:t>
      </w:r>
    </w:p>
    <w:p w14:paraId="7E9B1C39" w14:textId="77777777" w:rsidR="00A77B3E" w:rsidRDefault="00CE277B">
      <w:pPr>
        <w:keepLines/>
        <w:spacing w:before="120" w:after="120"/>
        <w:ind w:left="227" w:hanging="113"/>
      </w:pPr>
      <w:r>
        <w:t>- art. 49 ust. 4 ustawy z dnia 20 czerwca 1997 r. Prawo o ruchu drogowym „zakaz zatrzymania lub postoju pojazdu nie dotyczy unieruchomienia pojazdu wynikającego z warunków lub przepisów ruchu drogowego”,</w:t>
      </w:r>
    </w:p>
    <w:p w14:paraId="1F96C5D3" w14:textId="77777777" w:rsidR="00A77B3E" w:rsidRDefault="00CE277B">
      <w:pPr>
        <w:keepLines/>
        <w:spacing w:before="120" w:after="120"/>
        <w:ind w:left="227" w:hanging="113"/>
      </w:pPr>
      <w:r>
        <w:t>- § 28 ust. 3 Rozporządzenia Ministrów Infrastruktury oraz Spraw Wewnętrznych i Administracji z dnia 31 lipca 2002 r. w sprawie znaków i sygnałów drogowych (Dz. U. z 2019 r., poz. 2310 ze zm.) zakaz wyrażony znakiem B-36 „nie dotyczy pojazdów unieruchomionych ze względu na warunki lub przepisy ruchu drogowego”.</w:t>
      </w:r>
    </w:p>
    <w:p w14:paraId="762FE0BA" w14:textId="77777777" w:rsidR="00A77B3E" w:rsidRDefault="00CE277B">
      <w:pPr>
        <w:spacing w:before="120" w:after="120"/>
        <w:ind w:left="510" w:firstLine="227"/>
      </w:pPr>
      <w:r>
        <w:t>Warunki ruchu są określone przez m.in. cechy geometryczne dróg i ulic. W przypadku ulic, którymi wyznaczono objazd, dostęp do drogi publicznej odbywa się w sposób bezpośredni za pomocą zjazdów prowadzących do prywatnych nieruchomości. Dostęp do drogi publicznej to możliwość prawnego i nieskrępowanego połączenia działki z publiczną siecią drogową. Zgodnie z powyższą zasadą zastosowanie znaków B-36 w czasowej organizacji ruchu ma na celu wyeliminowanie zatrzymania i postoju pojazdów dotyczących unieruchomienia pojazdu niewynikającego z warunków lub przepisów ruchu drogowego (celowego pozostawienia pojazdu na drodze). Wprowadzone zmiany w organizacji ruchu mają na celu również zminimalizowanie utrudnień dla mieszkańców osiedla, a dodatkowo zastosowane tabliczki T-24 (dotyczące możliwości odholowania pojazdu) upłynnić ruch i umożliwić przejazd pojazdów komunikacji zbiorowej. Dostęp do posesji w celu zapewnienia innych, niezbędnych potrzeb życiowych także jest w tym przypadku zapewniony. Zatrzymanie/postój pojazdu w sąsiedztwie posesji nr 24/26 możliwe jest np. na pobliskim odcinku ul. Sasanek (od nr 1 do nr 24), z zachowaniem względów bezpieczeństwa i pozostałych przepisów ruchu drogowego.</w:t>
      </w:r>
    </w:p>
    <w:p w14:paraId="25CD3ECD" w14:textId="77777777" w:rsidR="00A77B3E" w:rsidRDefault="00CE277B">
      <w:pPr>
        <w:keepLines/>
        <w:spacing w:before="120" w:after="120"/>
        <w:ind w:firstLine="227"/>
      </w:pPr>
      <w:r>
        <w:lastRenderedPageBreak/>
        <w:t>Zgodnie z art. 10 ust. 6 ustawy z dnia 20 czerwca 1997 r. Prawo o ruchu drogowym (Dz.U. z 2024 r., poz. 1251 ze zm.) „Prezydent Miasta zarządza ruchem na drogach publicznych położonych w miastach na prawach powiatu, z wyjątkiem autostrad i dróg ekspresowych”. Zatwierdzanie organizacji ruchu na podstawie złożonych projektów organizacji zgodnie z § 3 rozporządzenia Ministra Infrastruktury z dnia 23 września 2003 r. w sprawie szczegółowych warunków zarządzania ruchem na drogach oraz wykonywania nadzoru nad tym zarządzaniem (Dz.U. z 2017 r., poz. 784) należy do organu zarządzającego ruchem. Inżynier Miasta został upoważniony przez Prezydenta Miasta Piotrkowa Trybunalskiego do załatwiania wszystkich spraw z zakresu zarządzania ruchem na drogach publicznych i wewnętrznych położonych w granicach Miasta Piotrkowa Trybunalskiego, z wyjątkiem autostrad i dróg ekspresowych, należących do organu zarządzającego ruchem.</w:t>
      </w:r>
    </w:p>
    <w:p w14:paraId="4DEF026F" w14:textId="77777777" w:rsidR="00A77B3E" w:rsidRDefault="00CE277B">
      <w:pPr>
        <w:spacing w:before="120" w:after="120"/>
        <w:ind w:left="283" w:firstLine="227"/>
      </w:pPr>
      <w:r>
        <w:t>Zatwierdzanie organizacji ruchu jest czynnością o charakterze władczym (jednoosobową/jednostronną). Organ zarządzający ruchem wykonuje tą czynność samodzielnie. Zatwierdzanie projektu organizacji ruchu nie jest uwarunkowane dokonywaniem innych dodatkowych czynności/porozumień. Jednak w tym przypadku, z uwagi na konieczność zapewnienia potrzeb wszystkich mieszkańców osiedla, na których wpływ ma trwająca rozbudowa ul. Jeziornej, poproszono o dodatkową opinię Rady Osiedla Wierzeje. Opinia ta miała charakter pomocniczy, nie stanowiła ona niezbędnych składowych projektu organizacji ruchu wymienionych w § 5 i 7 rozporządzenia Ministra Infrastruktury z dnia 23 września 2003 r. w sprawie szczegółowych warunków zarządzania ruchem na drogach oraz wykonywania nadzoru nad tym zarządzaniem (Dz.U. z 2017 r., poz. 784). Opinia Rady Osiedla Wierzeje – traktowana jako głos mieszkańców (ważny, istotny), była uzupełnieniem do wymaganych przepisami i ostatecznych opinii Zarządu Dróg i Utrzymania Miasta oraz Komendy Miejskiej Policji w Piotrkowie Trybunalskim. Zarząd Dróg i Utrzymania Miasta we współpracy z Miejskim Zakładem Komunikacyjnym Sp. z o.o. dokonał weryfikacji optymalnej trasy objazdu i lokalizacji tymczasowych przystanków komunikacji miejskiej. Dobór wprowadzonych rozwiązań nie jest przypadkowy, wynika ze szczegółowych analiz i próbnych przejazdów pojazdu miarodajnego autobusu.</w:t>
      </w:r>
    </w:p>
    <w:p w14:paraId="653D2C7F" w14:textId="77777777" w:rsidR="00A77B3E" w:rsidRDefault="00CE277B">
      <w:pPr>
        <w:spacing w:before="120" w:after="120"/>
        <w:ind w:left="283" w:firstLine="227"/>
      </w:pPr>
      <w:r>
        <w:t>Przytoczona (nie w całości) w skardze odpowiedź nr IBM.7226.104.2025 z dnia 29.08.2025 r. na pismo Skarżącej z dnia 10.08.2025 r. (data wpływu do Urzędu Miasta - 11.08.2025 r.) miała na celu umożliwienie ponownego przeanalizowania spostrzeżeń mieszkańców osiedla w kontekście wprowadzonej i funkcjonującej organizacji ruchu. Z całą pewnością jej zamiarem nie była chęć „zbycia i zlekceważenia” nadawcy korespondencji. Z wyjaśnień Pierwszego Zastępcy Prezydenta Miasta Pana Piotra Kulbata wynika , że proces zatwierdzenia przedmiotowej organizacji ruchu (w tym doboru trasy objazdu) przebiegł z uwzględnieniem wszystkich wymaganych przepisów i procedur, z dodatkowym poszanowaniem jakże ważnego głosu mieszkańców osiedla.</w:t>
      </w:r>
    </w:p>
    <w:p w14:paraId="76E0EB9C" w14:textId="77777777" w:rsidR="00A77B3E" w:rsidRDefault="00CE277B">
      <w:pPr>
        <w:spacing w:before="120" w:after="120"/>
        <w:ind w:left="283" w:firstLine="227"/>
      </w:pPr>
      <w:r>
        <w:t>Komisja Skarg, Wniosków i Petycji, po zapoznaniu się z przedłożonymi wyjaśnieniami w przedmiotowej sprawie, rekomendowała Radzie Miasta Piotrkowa Trybunalskiego uznanie skargi z dnia 7 września 2025 r. (data wpływu do Urzędu Miasta 09.09.2025 r.) za bezzasadną. Rada Miasta Piotrkowa Trybunalskiego w oparciu o stanowisko Komisji Skarg, Wniosków i Petycji, działając w trybie art. 229 pkt 3 Kodeksu postępowania administracyjnego oraz rozporządzenia Rady Ministrów z dnia 8 stycznia 2002 r. w sprawie organizacji przyjmowania i rozpatrywania skarg i wniosków (Dz. U. z 2002 r. Nr 5, poz. 46) - postanowiła uznać wniesioną skargę za bezzasadną.</w:t>
      </w:r>
    </w:p>
    <w:p w14:paraId="2DBBB9F5" w14:textId="77777777" w:rsidR="00A77B3E" w:rsidRDefault="00CE277B">
      <w:pPr>
        <w:keepNext/>
        <w:spacing w:before="120" w:after="120"/>
        <w:ind w:left="283" w:firstLine="227"/>
      </w:pPr>
      <w:r>
        <w:t>Pouczenie: Zgodnie z art. 239 § 1 Kpa w przypadku gdy skarga, w wyniku jej rozpatrzenia, została uznana za bezzasadną i jej bezzasadność wykazano w odpowiedzi na skargę, a skarżący ponowił skargę bez wskazania nowych okoliczności - organ właściwy do jej rozpatrzenia może podtrzymać swoje poprzednie stanowisko z odpowiednią adnotacją w aktach sprawy - bez zawiadamiania skarżącego.</w:t>
      </w:r>
    </w:p>
    <w:p w14:paraId="15D9B044" w14:textId="77777777" w:rsidR="00A77B3E" w:rsidRDefault="00CE277B">
      <w:pPr>
        <w:keepNext/>
        <w:keepLines/>
        <w:spacing w:before="120" w:after="120"/>
        <w:ind w:left="283" w:firstLine="227"/>
      </w:pPr>
      <w:r>
        <w:t> </w:t>
      </w:r>
    </w:p>
    <w:p w14:paraId="5B4BE663" w14:textId="77777777" w:rsidR="00A77B3E" w:rsidRDefault="00CE277B">
      <w:pPr>
        <w:keepNext/>
      </w:pPr>
      <w:r>
        <w:rPr>
          <w:color w:val="000000"/>
        </w:rPr>
        <w:t> </w:t>
      </w:r>
    </w:p>
    <w:tbl>
      <w:tblPr>
        <w:tblW w:w="5000" w:type="pct"/>
        <w:tblCellMar>
          <w:left w:w="0" w:type="dxa"/>
          <w:right w:w="0" w:type="dxa"/>
        </w:tblCellMar>
        <w:tblLook w:val="04A0" w:firstRow="1" w:lastRow="0" w:firstColumn="1" w:lastColumn="0" w:noHBand="0" w:noVBand="1"/>
      </w:tblPr>
      <w:tblGrid>
        <w:gridCol w:w="5103"/>
        <w:gridCol w:w="5103"/>
      </w:tblGrid>
      <w:tr w:rsidR="003C1798" w14:paraId="07C671C6" w14:textId="77777777">
        <w:tc>
          <w:tcPr>
            <w:tcW w:w="2500" w:type="pct"/>
            <w:tcMar>
              <w:top w:w="0" w:type="dxa"/>
              <w:left w:w="0" w:type="dxa"/>
              <w:bottom w:w="0" w:type="dxa"/>
              <w:right w:w="0" w:type="dxa"/>
            </w:tcMar>
            <w:hideMark/>
          </w:tcPr>
          <w:p w14:paraId="09D23AF6" w14:textId="77777777" w:rsidR="003C1798" w:rsidRDefault="003C1798">
            <w:pPr>
              <w:keepNext/>
              <w:keepLines/>
              <w:jc w:val="left"/>
              <w:rPr>
                <w:color w:val="000000"/>
                <w:szCs w:val="22"/>
              </w:rPr>
            </w:pPr>
          </w:p>
        </w:tc>
        <w:tc>
          <w:tcPr>
            <w:tcW w:w="2500" w:type="pct"/>
            <w:tcMar>
              <w:top w:w="0" w:type="dxa"/>
              <w:left w:w="0" w:type="dxa"/>
              <w:bottom w:w="0" w:type="dxa"/>
              <w:right w:w="0" w:type="dxa"/>
            </w:tcMar>
            <w:hideMark/>
          </w:tcPr>
          <w:p w14:paraId="612C9E6C" w14:textId="77777777" w:rsidR="003C1798" w:rsidRDefault="00CE277B">
            <w:pPr>
              <w:keepNext/>
              <w:keepLines/>
              <w:spacing w:before="560" w:after="560"/>
              <w:ind w:left="1134" w:right="1134"/>
              <w:jc w:val="center"/>
              <w:rPr>
                <w:color w:val="000000"/>
                <w:szCs w:val="22"/>
              </w:rPr>
            </w:pPr>
            <w:r>
              <w:rPr>
                <w:color w:val="000000"/>
                <w:szCs w:val="22"/>
              </w:rPr>
              <w:t>Przewodniczący Rady Miasta</w:t>
            </w:r>
            <w:r>
              <w:rPr>
                <w:color w:val="000000"/>
                <w:szCs w:val="22"/>
              </w:rPr>
              <w:br/>
            </w:r>
            <w:r>
              <w:rPr>
                <w:color w:val="000000"/>
                <w:szCs w:val="22"/>
              </w:rPr>
              <w:br/>
            </w:r>
            <w:r>
              <w:rPr>
                <w:color w:val="000000"/>
                <w:szCs w:val="22"/>
              </w:rPr>
              <w:br/>
            </w:r>
            <w:r>
              <w:rPr>
                <w:b/>
              </w:rPr>
              <w:t>Mariusz Staszek</w:t>
            </w:r>
          </w:p>
        </w:tc>
      </w:tr>
    </w:tbl>
    <w:p w14:paraId="630778EB" w14:textId="77777777" w:rsidR="00A77B3E" w:rsidRDefault="00A77B3E">
      <w:pPr>
        <w:keepNext/>
      </w:pPr>
    </w:p>
    <w:sectPr w:rsidR="00A77B3E">
      <w:footerReference w:type="default" r:id="rId7"/>
      <w:endnotePr>
        <w:numFmt w:val="decimal"/>
      </w:endnotePr>
      <w:pgSz w:w="11906" w:h="16838"/>
      <w:pgMar w:top="850" w:right="850" w:bottom="1417" w:left="85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2E5D3" w14:textId="77777777" w:rsidR="00D719E8" w:rsidRDefault="00D719E8">
      <w:r>
        <w:separator/>
      </w:r>
    </w:p>
  </w:endnote>
  <w:endnote w:type="continuationSeparator" w:id="0">
    <w:p w14:paraId="51A3E8BD" w14:textId="77777777" w:rsidR="00D719E8" w:rsidRDefault="00D71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C1798" w14:paraId="3A7EAE8C" w14:textId="77777777">
      <w:tc>
        <w:tcPr>
          <w:tcW w:w="6804" w:type="dxa"/>
          <w:tcBorders>
            <w:top w:val="nil"/>
            <w:left w:val="nil"/>
            <w:bottom w:val="nil"/>
            <w:right w:val="nil"/>
          </w:tcBorders>
          <w:tcMar>
            <w:top w:w="100" w:type="dxa"/>
            <w:left w:w="0" w:type="dxa"/>
            <w:bottom w:w="0" w:type="dxa"/>
            <w:right w:w="0" w:type="dxa"/>
          </w:tcMar>
          <w:hideMark/>
        </w:tcPr>
        <w:p w14:paraId="124F8C95" w14:textId="77777777" w:rsidR="003C1798" w:rsidRDefault="00CE277B">
          <w:pPr>
            <w:jc w:val="left"/>
            <w:rPr>
              <w:sz w:val="18"/>
            </w:rPr>
          </w:pPr>
          <w:r>
            <w:rPr>
              <w:sz w:val="18"/>
            </w:rPr>
            <w:t>Id: C8A52F54-3FB7-4B31-97B5-0AF0FC0AB0B0. Podpisany</w:t>
          </w:r>
        </w:p>
      </w:tc>
      <w:tc>
        <w:tcPr>
          <w:tcW w:w="3402" w:type="dxa"/>
          <w:tcBorders>
            <w:top w:val="nil"/>
            <w:left w:val="nil"/>
            <w:bottom w:val="nil"/>
            <w:right w:val="nil"/>
          </w:tcBorders>
          <w:tcMar>
            <w:top w:w="100" w:type="dxa"/>
            <w:left w:w="0" w:type="dxa"/>
            <w:bottom w:w="0" w:type="dxa"/>
            <w:right w:w="0" w:type="dxa"/>
          </w:tcMar>
          <w:hideMark/>
        </w:tcPr>
        <w:p w14:paraId="10D0EF72" w14:textId="77777777" w:rsidR="003C1798" w:rsidRDefault="00CE277B">
          <w:pPr>
            <w:jc w:val="right"/>
            <w:rPr>
              <w:sz w:val="18"/>
            </w:rPr>
          </w:pPr>
          <w:r>
            <w:rPr>
              <w:sz w:val="18"/>
            </w:rPr>
            <w:t xml:space="preserve">Strona </w:t>
          </w:r>
          <w:r>
            <w:rPr>
              <w:sz w:val="18"/>
            </w:rPr>
            <w:fldChar w:fldCharType="begin"/>
          </w:r>
          <w:r>
            <w:rPr>
              <w:sz w:val="18"/>
            </w:rPr>
            <w:instrText>PAGE</w:instrText>
          </w:r>
          <w:r>
            <w:rPr>
              <w:sz w:val="18"/>
            </w:rPr>
            <w:fldChar w:fldCharType="separate"/>
          </w:r>
          <w:r w:rsidR="00054337">
            <w:rPr>
              <w:noProof/>
              <w:sz w:val="18"/>
            </w:rPr>
            <w:t>1</w:t>
          </w:r>
          <w:r>
            <w:rPr>
              <w:sz w:val="18"/>
            </w:rPr>
            <w:fldChar w:fldCharType="end"/>
          </w:r>
        </w:p>
      </w:tc>
    </w:tr>
  </w:tbl>
  <w:p w14:paraId="28FB0B4D" w14:textId="77777777" w:rsidR="003C1798" w:rsidRDefault="003C1798">
    <w:pP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3402"/>
    </w:tblGrid>
    <w:tr w:rsidR="003C1798" w14:paraId="437CCAC9" w14:textId="77777777">
      <w:tc>
        <w:tcPr>
          <w:tcW w:w="6804" w:type="dxa"/>
          <w:tcBorders>
            <w:top w:val="nil"/>
            <w:left w:val="nil"/>
            <w:bottom w:val="nil"/>
            <w:right w:val="nil"/>
          </w:tcBorders>
          <w:tcMar>
            <w:top w:w="100" w:type="dxa"/>
            <w:left w:w="0" w:type="dxa"/>
            <w:bottom w:w="0" w:type="dxa"/>
            <w:right w:w="0" w:type="dxa"/>
          </w:tcMar>
          <w:hideMark/>
        </w:tcPr>
        <w:p w14:paraId="4696698B" w14:textId="77777777" w:rsidR="003C1798" w:rsidRDefault="00CE277B">
          <w:pPr>
            <w:jc w:val="left"/>
            <w:rPr>
              <w:sz w:val="18"/>
            </w:rPr>
          </w:pPr>
          <w:r>
            <w:rPr>
              <w:sz w:val="18"/>
            </w:rPr>
            <w:t>Id: C8A52F54-3FB7-4B31-97B5-0AF0FC0AB0B0. Podpisany</w:t>
          </w:r>
        </w:p>
      </w:tc>
      <w:tc>
        <w:tcPr>
          <w:tcW w:w="3402" w:type="dxa"/>
          <w:tcBorders>
            <w:top w:val="nil"/>
            <w:left w:val="nil"/>
            <w:bottom w:val="nil"/>
            <w:right w:val="nil"/>
          </w:tcBorders>
          <w:tcMar>
            <w:top w:w="100" w:type="dxa"/>
            <w:left w:w="0" w:type="dxa"/>
            <w:bottom w:w="0" w:type="dxa"/>
            <w:right w:w="0" w:type="dxa"/>
          </w:tcMar>
          <w:hideMark/>
        </w:tcPr>
        <w:p w14:paraId="135BCAB9" w14:textId="77777777" w:rsidR="003C1798" w:rsidRDefault="00CE277B">
          <w:pPr>
            <w:jc w:val="right"/>
            <w:rPr>
              <w:sz w:val="18"/>
            </w:rPr>
          </w:pPr>
          <w:r>
            <w:rPr>
              <w:sz w:val="18"/>
            </w:rPr>
            <w:t xml:space="preserve">Strona </w:t>
          </w:r>
          <w:r>
            <w:rPr>
              <w:sz w:val="18"/>
            </w:rPr>
            <w:fldChar w:fldCharType="begin"/>
          </w:r>
          <w:r>
            <w:rPr>
              <w:sz w:val="18"/>
            </w:rPr>
            <w:instrText>PAGE</w:instrText>
          </w:r>
          <w:r>
            <w:rPr>
              <w:sz w:val="18"/>
            </w:rPr>
            <w:fldChar w:fldCharType="separate"/>
          </w:r>
          <w:r w:rsidR="00054337">
            <w:rPr>
              <w:noProof/>
              <w:sz w:val="18"/>
            </w:rPr>
            <w:t>1</w:t>
          </w:r>
          <w:r>
            <w:rPr>
              <w:sz w:val="18"/>
            </w:rPr>
            <w:fldChar w:fldCharType="end"/>
          </w:r>
        </w:p>
      </w:tc>
    </w:tr>
  </w:tbl>
  <w:p w14:paraId="257C67F9" w14:textId="77777777" w:rsidR="003C1798" w:rsidRDefault="003C1798">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596D53" w14:textId="77777777" w:rsidR="00D719E8" w:rsidRDefault="00D719E8">
      <w:r>
        <w:separator/>
      </w:r>
    </w:p>
  </w:footnote>
  <w:footnote w:type="continuationSeparator" w:id="0">
    <w:p w14:paraId="5F1987C9" w14:textId="77777777" w:rsidR="00D719E8" w:rsidRDefault="00D719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54337"/>
    <w:rsid w:val="003C1798"/>
    <w:rsid w:val="00625A9C"/>
    <w:rsid w:val="00924A5F"/>
    <w:rsid w:val="00A735D7"/>
    <w:rsid w:val="00A77B3E"/>
    <w:rsid w:val="00CA2A55"/>
    <w:rsid w:val="00CE277B"/>
    <w:rsid w:val="00D719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C39E2"/>
  <w15:docId w15:val="{17244A1B-3FE8-4D52-8BB8-075980B80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1306</Words>
  <Characters>8121</Characters>
  <Application>Microsoft Office Word</Application>
  <DocSecurity>4</DocSecurity>
  <Lines>67</Lines>
  <Paragraphs>18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XXIV/253/25 z dnia 29 września 2025 r.</vt:lpstr>
      <vt:lpstr/>
    </vt:vector>
  </TitlesOfParts>
  <Company>Rada Miasta Piotrkowa Trybunalskiego</Company>
  <LinksUpToDate>false</LinksUpToDate>
  <CharactersWithSpaces>9409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XXIV/253/25 z dnia 29 września 2025 r.</dc:title>
  <dc:subject>w sprawie skargi na działania Prezydenta Miasta Piotrkowa Trybunalskiego</dc:subject>
  <dc:creator>Kaczmarek_I</dc:creator>
  <cp:lastModifiedBy>Baryła Marlena</cp:lastModifiedBy>
  <cp:revision>2</cp:revision>
  <dcterms:created xsi:type="dcterms:W3CDTF">2025-10-17T08:30:00Z</dcterms:created>
  <dcterms:modified xsi:type="dcterms:W3CDTF">2025-10-17T08:30:00Z</dcterms:modified>
  <cp:category>Akt prawny</cp:category>
</cp:coreProperties>
</file>