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D341F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3D341F">
      <w:pPr>
        <w:ind w:left="5669"/>
        <w:jc w:val="left"/>
        <w:rPr>
          <w:sz w:val="20"/>
        </w:rPr>
      </w:pPr>
      <w:r>
        <w:rPr>
          <w:sz w:val="20"/>
        </w:rPr>
        <w:t>z dnia  .......................                                                 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3D341F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3D341F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.................... 2024 r.</w:t>
      </w:r>
    </w:p>
    <w:p w:rsidR="00A77B3E" w:rsidRDefault="003D341F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określenia wysokości stawek podatku od nieruchomości</w:t>
      </w:r>
    </w:p>
    <w:p w:rsidR="00A77B3E" w:rsidRDefault="003D341F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art.18 ust.2 pkt 8, art. 40 ust. 1, art.41 ust.1, art. 42 ustawy z dnia 8 marca 1990 r. o samorządzie gminnym (Dz. U. 2024 r. poz.1465, poz. 1572), art. 5 ustawy z dnia 12 stycznia 1991 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(Dz. Urz. WE L 368 z 17.12.1992), 2) dyrektywy 1999/62/WE z dnia 17 czerwca 1999 r. w sprawie pobierania opłat za użytkowanie niektórych typów infrastruktury przez pojazdy ciężarowe (Dz. Urz.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specjalne) - (Dz. U. z 2023 r. poz. 70, z 2024 r. poz.1635) oraz obwieszczenia Ministra Finansów z dnia 25 lipca 2024 r. w sprawie górnych granic stawek kwotowych podatków i opłat lokalnych na rok 2025 (M.P. z 2024 r. poz. 716), </w:t>
      </w:r>
      <w:r>
        <w:rPr>
          <w:b/>
          <w:color w:val="000000"/>
          <w:u w:color="000000"/>
        </w:rPr>
        <w:t>uchwala się, co następuje:</w:t>
      </w:r>
    </w:p>
    <w:p w:rsidR="00A77B3E" w:rsidRDefault="003D341F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 się następujące stawki podatku od nieruchomości obowiązujące na terenie Piotrkowa Trybunalskiego:</w:t>
      </w:r>
    </w:p>
    <w:p w:rsidR="00A77B3E" w:rsidRDefault="003D34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budynków lub ich części: 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mieszkalnych – </w:t>
      </w:r>
      <w:r>
        <w:rPr>
          <w:b/>
          <w:color w:val="000000"/>
          <w:u w:color="000000"/>
        </w:rPr>
        <w:t>1,12 zł</w:t>
      </w:r>
      <w:r>
        <w:rPr>
          <w:color w:val="000000"/>
          <w:u w:color="000000"/>
        </w:rPr>
        <w:t>;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>
        <w:rPr>
          <w:b/>
          <w:color w:val="000000"/>
          <w:u w:color="000000"/>
        </w:rPr>
        <w:t>32,24 zł</w:t>
      </w:r>
      <w:r>
        <w:rPr>
          <w:color w:val="000000"/>
          <w:u w:color="000000"/>
        </w:rPr>
        <w:t>;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zajętych na prowadzenie działalności gospodarczej w zakresie obrotu kwalifikowanym materiałem siewnym – </w:t>
      </w:r>
      <w:r>
        <w:rPr>
          <w:b/>
          <w:color w:val="000000"/>
          <w:u w:color="000000"/>
        </w:rPr>
        <w:t>15,09 zł</w:t>
      </w:r>
      <w:r>
        <w:rPr>
          <w:color w:val="000000"/>
          <w:u w:color="000000"/>
        </w:rPr>
        <w:t>;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>
        <w:rPr>
          <w:b/>
          <w:color w:val="000000"/>
          <w:u w:color="000000"/>
        </w:rPr>
        <w:t>6,58 zł</w:t>
      </w:r>
      <w:r>
        <w:rPr>
          <w:color w:val="000000"/>
          <w:u w:color="000000"/>
        </w:rPr>
        <w:t>;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pozostałych, w tym zajętych na prowadzenie odpłatnej statutowej działalności pożytku publicznego przez organizacje pożytku publicznego – </w:t>
      </w:r>
      <w:r>
        <w:rPr>
          <w:b/>
          <w:color w:val="000000"/>
          <w:u w:color="000000"/>
        </w:rPr>
        <w:t>10,88 zł</w:t>
      </w:r>
      <w:r>
        <w:rPr>
          <w:color w:val="000000"/>
          <w:u w:color="000000"/>
        </w:rPr>
        <w:t>, z zastrzeżeniem litery a) i b):</w:t>
      </w:r>
    </w:p>
    <w:p w:rsidR="00A77B3E" w:rsidRDefault="003D34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garaży, nie związanych z prowadzeniem działalności gospodarczej – </w:t>
      </w:r>
      <w:r>
        <w:rPr>
          <w:b/>
          <w:color w:val="000000"/>
          <w:u w:color="000000"/>
        </w:rPr>
        <w:t>10,88 zł</w:t>
      </w:r>
      <w:r>
        <w:rPr>
          <w:color w:val="000000"/>
          <w:u w:color="000000"/>
        </w:rPr>
        <w:t>,</w:t>
      </w:r>
    </w:p>
    <w:p w:rsidR="00A77B3E" w:rsidRDefault="003D341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gospodarczych, nie związanych z prowadzeniem działalności gospodarczej – </w:t>
      </w:r>
      <w:r>
        <w:rPr>
          <w:b/>
          <w:color w:val="000000"/>
          <w:u w:color="000000"/>
        </w:rPr>
        <w:t>10,88 zł</w:t>
      </w:r>
      <w:r>
        <w:rPr>
          <w:color w:val="000000"/>
          <w:u w:color="000000"/>
        </w:rPr>
        <w:t>.</w:t>
      </w:r>
    </w:p>
    <w:p w:rsidR="00A77B3E" w:rsidRDefault="003D34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Od budowli lub ich części – </w:t>
      </w:r>
      <w:r>
        <w:rPr>
          <w:b/>
          <w:color w:val="000000"/>
          <w:u w:color="000000"/>
        </w:rPr>
        <w:t>2%</w:t>
      </w:r>
      <w:r>
        <w:rPr>
          <w:color w:val="000000"/>
          <w:u w:color="000000"/>
        </w:rPr>
        <w:t xml:space="preserve"> wartości określonej na podstawie art. 4 ust.1 pkt 3 i ust.3-7 ustawy z dnia 12 stycznia 1991 r. o podatkach i opłatach lokalnych (Dz. U. z 2023 r. poz. 70, z 2024 r. poz.1635).</w:t>
      </w:r>
    </w:p>
    <w:p w:rsidR="00A77B3E" w:rsidRDefault="003D34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 gruntów: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związanych z prowadzeniem działalności gospodarczej, bez względu na sposób zakwalifikowania w ewidencji gruntów i budynków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– </w:t>
      </w:r>
      <w:r>
        <w:rPr>
          <w:b/>
          <w:color w:val="000000"/>
          <w:u w:color="000000"/>
        </w:rPr>
        <w:t>1,30 zł</w:t>
      </w:r>
      <w:r>
        <w:rPr>
          <w:color w:val="000000"/>
          <w:u w:color="000000"/>
        </w:rPr>
        <w:t>;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pod wodami powierzchniowymi stojącymi lub wodami powierzchniowymi płynącymi jezior i zbiorników sztucznych od 1 ha powierzchni – </w:t>
      </w:r>
      <w:r>
        <w:rPr>
          <w:b/>
          <w:color w:val="000000"/>
          <w:u w:color="000000"/>
        </w:rPr>
        <w:t>6,49 zł</w:t>
      </w:r>
      <w:r>
        <w:rPr>
          <w:color w:val="000000"/>
          <w:u w:color="000000"/>
        </w:rPr>
        <w:t>;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od 1m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– </w:t>
      </w:r>
      <w:r>
        <w:rPr>
          <w:b/>
          <w:color w:val="000000"/>
          <w:u w:color="000000"/>
        </w:rPr>
        <w:t>0,69 zł</w:t>
      </w:r>
      <w:r>
        <w:rPr>
          <w:color w:val="000000"/>
          <w:u w:color="000000"/>
        </w:rPr>
        <w:t>;</w:t>
      </w:r>
    </w:p>
    <w:p w:rsidR="00A77B3E" w:rsidRDefault="003D341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 xml:space="preserve">niezabudowanych objętych obszarem rewitalizacji, o którym mowa w ustawie z dnia </w:t>
      </w:r>
      <w:r>
        <w:rPr>
          <w:color w:val="000000"/>
          <w:u w:color="000000"/>
        </w:rPr>
        <w:br/>
        <w:t>9 października 2015 r. o rewitalizacji (Dz. U. z 2021 r. poz. 485),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– </w:t>
      </w:r>
      <w:r>
        <w:rPr>
          <w:b/>
          <w:color w:val="000000"/>
          <w:u w:color="000000"/>
        </w:rPr>
        <w:t>4,27 zł</w:t>
      </w:r>
      <w:r>
        <w:rPr>
          <w:color w:val="000000"/>
          <w:u w:color="000000"/>
        </w:rPr>
        <w:t>.</w:t>
      </w:r>
    </w:p>
    <w:p w:rsidR="00A77B3E" w:rsidRDefault="003D341F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LV/701/22 Rady Miasta Piotrkowa Trybunalskiego z dnia 26 września 2022 r. w sprawie określenia wysokości stawek podatku od nieruchomości.</w:t>
      </w:r>
    </w:p>
    <w:p w:rsidR="00A77B3E" w:rsidRDefault="003D341F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Łódzkiego i wchodzi w życie z dniem  01 stycznia 2025 r.</w:t>
      </w:r>
    </w:p>
    <w:p w:rsidR="00A77B3E" w:rsidRDefault="00A77B3E">
      <w:pPr>
        <w:keepLines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B50A9A" w:rsidRDefault="003D341F">
      <w:pPr>
        <w:spacing w:before="120" w:after="120" w:line="360" w:lineRule="auto"/>
        <w:ind w:left="4956"/>
        <w:rPr>
          <w:rFonts w:ascii="Arial Narrow" w:hAnsi="Arial Narrow"/>
          <w:color w:val="000000"/>
          <w:sz w:val="24"/>
          <w:szCs w:val="20"/>
          <w:u w:color="000000"/>
        </w:rPr>
      </w:pPr>
      <w:r>
        <w:rPr>
          <w:rFonts w:ascii="Arial Narrow" w:hAnsi="Arial Narrow"/>
          <w:color w:val="000000"/>
          <w:sz w:val="24"/>
          <w:szCs w:val="20"/>
          <w:u w:color="000000"/>
        </w:rPr>
        <w:lastRenderedPageBreak/>
        <w:t xml:space="preserve">      </w:t>
      </w:r>
    </w:p>
    <w:p w:rsidR="00B50A9A" w:rsidRDefault="00B50A9A">
      <w:pPr>
        <w:spacing w:before="120" w:after="120" w:line="360" w:lineRule="auto"/>
        <w:ind w:left="708"/>
        <w:jc w:val="center"/>
        <w:rPr>
          <w:rFonts w:ascii="Arial Narrow" w:hAnsi="Arial Narrow"/>
          <w:color w:val="000000"/>
          <w:sz w:val="24"/>
          <w:szCs w:val="20"/>
          <w:u w:color="000000"/>
        </w:rPr>
      </w:pPr>
    </w:p>
    <w:p w:rsidR="00B50A9A" w:rsidRDefault="003D341F">
      <w:pPr>
        <w:spacing w:before="120" w:after="120" w:line="360" w:lineRule="auto"/>
        <w:ind w:left="708"/>
        <w:jc w:val="center"/>
        <w:rPr>
          <w:rFonts w:ascii="Arial Narrow" w:hAnsi="Arial Narrow"/>
          <w:b/>
          <w:sz w:val="24"/>
          <w:szCs w:val="20"/>
        </w:rPr>
      </w:pPr>
      <w:r>
        <w:rPr>
          <w:rFonts w:ascii="Arial Narrow" w:hAnsi="Arial Narrow"/>
          <w:b/>
          <w:sz w:val="24"/>
          <w:szCs w:val="20"/>
        </w:rPr>
        <w:t>UZASADNIENIE</w:t>
      </w:r>
    </w:p>
    <w:p w:rsidR="00B50A9A" w:rsidRDefault="003D341F">
      <w:pPr>
        <w:spacing w:before="120" w:after="120"/>
        <w:ind w:left="283" w:firstLine="227"/>
        <w:jc w:val="center"/>
        <w:rPr>
          <w:rFonts w:ascii="Arial Narrow" w:hAnsi="Arial Narrow"/>
          <w:color w:val="000000"/>
          <w:sz w:val="24"/>
          <w:szCs w:val="20"/>
          <w:u w:color="000000"/>
        </w:rPr>
      </w:pPr>
      <w:r>
        <w:rPr>
          <w:rFonts w:ascii="Arial Narrow" w:hAnsi="Arial Narrow"/>
          <w:b/>
          <w:color w:val="000000"/>
          <w:sz w:val="24"/>
          <w:szCs w:val="20"/>
          <w:u w:color="000000"/>
        </w:rPr>
        <w:t>do projektu uchwały Rady Miasta Piotrkowa Trybunalskiego</w:t>
      </w:r>
    </w:p>
    <w:p w:rsidR="00B50A9A" w:rsidRDefault="003D341F">
      <w:pPr>
        <w:spacing w:before="120" w:after="120"/>
        <w:ind w:left="283" w:firstLine="227"/>
        <w:jc w:val="center"/>
        <w:rPr>
          <w:rFonts w:ascii="Arial Narrow" w:hAnsi="Arial Narrow"/>
          <w:b/>
          <w:color w:val="000000"/>
          <w:sz w:val="24"/>
          <w:szCs w:val="20"/>
          <w:u w:color="000000"/>
        </w:rPr>
      </w:pPr>
      <w:r>
        <w:rPr>
          <w:rFonts w:ascii="Arial Narrow" w:hAnsi="Arial Narrow"/>
          <w:b/>
          <w:color w:val="000000"/>
          <w:sz w:val="24"/>
          <w:szCs w:val="20"/>
          <w:u w:color="000000"/>
        </w:rPr>
        <w:t xml:space="preserve">w sprawie określenia wysokości stawek podatku od nieruchomości </w:t>
      </w:r>
    </w:p>
    <w:p w:rsidR="00B50A9A" w:rsidRDefault="00B50A9A">
      <w:pPr>
        <w:spacing w:before="120" w:after="120"/>
        <w:ind w:left="283" w:firstLine="227"/>
        <w:jc w:val="center"/>
        <w:rPr>
          <w:rFonts w:ascii="Arial Narrow" w:hAnsi="Arial Narrow"/>
          <w:color w:val="000000"/>
          <w:sz w:val="24"/>
          <w:szCs w:val="20"/>
          <w:u w:color="000000"/>
        </w:rPr>
      </w:pPr>
    </w:p>
    <w:p w:rsidR="00B50A9A" w:rsidRDefault="003D341F">
      <w:pPr>
        <w:spacing w:before="120" w:after="120"/>
        <w:ind w:left="283" w:firstLine="227"/>
        <w:rPr>
          <w:rFonts w:ascii="Arial Narrow" w:hAnsi="Arial Narrow"/>
          <w:color w:val="000000"/>
          <w:sz w:val="24"/>
          <w:szCs w:val="20"/>
          <w:u w:color="000000"/>
        </w:rPr>
      </w:pPr>
      <w:r>
        <w:rPr>
          <w:rFonts w:ascii="Arial Narrow" w:hAnsi="Arial Narrow"/>
          <w:color w:val="000000"/>
          <w:sz w:val="24"/>
          <w:szCs w:val="20"/>
          <w:u w:color="000000"/>
        </w:rPr>
        <w:tab/>
        <w:t>Projekt uchwały stanowi wykonanie dyspozycji zawartej w art. 5 ust. 1 ustawy z dnia 12 stycznia 1991 r. o podatkach i opłatach lokalnych (t.j. Dz. U. z 2023 r. poz. 70 z późn. zm.). Rada Gminy w drodze uchwały, określa wysokość stawek podatku od nieruchomości obowiązujące na terenie danej Gminy, z tym, że stawki te nie mogą przekroczyć górnych stawek kwotowych podatków i opłat lokalnych określonych na dany rok podatkowy przez Ministra Finansów.  Stosownie do przepisów art. 20 ust. 1 ustawy o podatkach i opłatach lokalnych, minister właściwy do spraw finansów publicznych ogłasza, w drodze obwieszczenia, w Dzienniku Urzędowym Rzeczypospolitej Polskiej „Monitor Polski”, górne granice stawek kwotowych podatków i opłat lokalnych. W związku z powyższym podstawę do zmiany górnej granicy stawek kwotowych podatków i opłat lokalnych stanowi, określony w Komunikacie Prezesa GUS z dnia 15 lipca 2024 r. (M.P. z 2024 r. poz. 645), wskaźnik cen towarów i usług konsumpcyjnych w I półroczu 2024 r. w stosunku do I półrocza 2023 r. wynoszący 102,7 (wzrost cen o 2,7 %).</w:t>
      </w:r>
    </w:p>
    <w:p w:rsidR="00B50A9A" w:rsidRDefault="003D341F">
      <w:pPr>
        <w:spacing w:before="120" w:after="120"/>
        <w:ind w:left="283" w:firstLine="227"/>
        <w:rPr>
          <w:rFonts w:ascii="Arial Narrow" w:hAnsi="Arial Narrow"/>
          <w:color w:val="000000"/>
          <w:sz w:val="24"/>
          <w:szCs w:val="20"/>
          <w:u w:color="000000"/>
        </w:rPr>
      </w:pPr>
      <w:r>
        <w:rPr>
          <w:rFonts w:ascii="Arial Narrow" w:hAnsi="Arial Narrow"/>
          <w:color w:val="000000"/>
          <w:sz w:val="24"/>
          <w:szCs w:val="20"/>
          <w:u w:color="000000"/>
        </w:rPr>
        <w:tab/>
        <w:t>Uwzględniając powyższe Minister Finansów w drodze obwieszczenia z dnia 25 lipca 2024 r. ogłosił górne granice stawek kwotowych podatków i opłat lokalnych na rok 2025 (M.P. z 2024 r., poz. 716), które wynoszą:</w:t>
      </w:r>
    </w:p>
    <w:p w:rsidR="00B50A9A" w:rsidRDefault="003D341F">
      <w:pPr>
        <w:numPr>
          <w:ilvl w:val="0"/>
          <w:numId w:val="1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>Od budynków lub ich części:</w:t>
      </w:r>
    </w:p>
    <w:p w:rsidR="00B50A9A" w:rsidRDefault="003D341F">
      <w:pPr>
        <w:numPr>
          <w:ilvl w:val="0"/>
          <w:numId w:val="2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>mieszkalnych (od 1 m</w:t>
      </w:r>
      <w:r>
        <w:rPr>
          <w:rFonts w:ascii="Arial Narrow" w:hAnsi="Arial Narrow"/>
          <w:color w:val="000000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powierzchni użytkowej)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1,19 zł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 </w:t>
      </w:r>
    </w:p>
    <w:p w:rsidR="00B50A9A" w:rsidRDefault="003D341F">
      <w:pPr>
        <w:numPr>
          <w:ilvl w:val="0"/>
          <w:numId w:val="2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>związanych z prowadzeniem działalności gospodarczej oraz od budynków mieszkalnych lub ich części zajętych na prowadzenie działalności gospodarczej (od 1 m</w:t>
      </w:r>
      <w:r>
        <w:rPr>
          <w:rFonts w:ascii="Arial Narrow" w:hAnsi="Arial Narrow"/>
          <w:color w:val="000000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powierzchni użytkowej)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34,00 zł</w:t>
      </w:r>
    </w:p>
    <w:p w:rsidR="00B50A9A" w:rsidRDefault="003D341F">
      <w:pPr>
        <w:numPr>
          <w:ilvl w:val="0"/>
          <w:numId w:val="2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>zajętych na prowadzenie działalności gospodarczej w zakresie obrotu kwalifikowanym materiałem siewnym (od 1 m</w:t>
      </w:r>
      <w:r>
        <w:rPr>
          <w:rFonts w:ascii="Arial Narrow" w:hAnsi="Arial Narrow"/>
          <w:color w:val="000000"/>
          <w:sz w:val="24"/>
          <w:szCs w:val="20"/>
          <w:u w:color="000000"/>
          <w:vertAlign w:val="superscript"/>
          <w:lang w:eastAsia="en-US" w:bidi="ar-SA"/>
        </w:rPr>
        <w:t xml:space="preserve">2 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powierzchni użytkowej)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15,92 zł</w:t>
      </w:r>
    </w:p>
    <w:p w:rsidR="00B50A9A" w:rsidRDefault="003D341F">
      <w:pPr>
        <w:numPr>
          <w:ilvl w:val="0"/>
          <w:numId w:val="2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związanych z udzieleniem świadczeń zdrowotnych w rozumieniu przepisów o działalności leczniczej, zajętych przez podmioty udzielające tych świadczeń (od 1 m</w:t>
      </w:r>
      <w:r>
        <w:rPr>
          <w:rFonts w:ascii="Arial Narrow" w:hAnsi="Arial Narrow"/>
          <w:color w:val="000000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powierzchni użytkowej)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6,95 zł</w:t>
      </w:r>
    </w:p>
    <w:p w:rsidR="00B50A9A" w:rsidRDefault="003D341F">
      <w:pPr>
        <w:numPr>
          <w:ilvl w:val="0"/>
          <w:numId w:val="2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>pozostałych, w tym zajętych na prowadzenie odpłatnej statutowej działalności pożytku publicznego przez organizacje pożytku publicznego (od 1 m</w:t>
      </w:r>
      <w:r>
        <w:rPr>
          <w:rFonts w:ascii="Arial Narrow" w:hAnsi="Arial Narrow"/>
          <w:color w:val="000000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powierzchni)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11,48 zł</w:t>
      </w:r>
    </w:p>
    <w:p w:rsidR="00B50A9A" w:rsidRDefault="003D341F">
      <w:pPr>
        <w:numPr>
          <w:ilvl w:val="0"/>
          <w:numId w:val="1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>od gruntów:</w:t>
      </w:r>
    </w:p>
    <w:p w:rsidR="00B50A9A" w:rsidRDefault="003D341F">
      <w:pPr>
        <w:numPr>
          <w:ilvl w:val="0"/>
          <w:numId w:val="3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związanych z prowadzeniem działalności gospodarczej, bez względu na sposób zakwalifikowania ewidencji gruntów i budynków (od 1 m</w:t>
      </w:r>
      <w:r>
        <w:rPr>
          <w:rFonts w:ascii="Arial Narrow" w:hAnsi="Arial Narrow"/>
          <w:color w:val="000000"/>
          <w:sz w:val="24"/>
          <w:szCs w:val="20"/>
          <w:u w:color="000000"/>
          <w:vertAlign w:val="superscript"/>
          <w:lang w:eastAsia="en-US" w:bidi="ar-SA"/>
        </w:rPr>
        <w:t xml:space="preserve">2 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powierzchni)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1,38 zł</w:t>
      </w:r>
    </w:p>
    <w:p w:rsidR="00B50A9A" w:rsidRDefault="003D341F">
      <w:pPr>
        <w:numPr>
          <w:ilvl w:val="0"/>
          <w:numId w:val="3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pod wodami powierzchniowymi stojącymi lub wodami powierzchniowymi płynącymi jezior i zbiorników sztucznych (od 1 ha powierzchni)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6,84 zł</w:t>
      </w:r>
    </w:p>
    <w:p w:rsidR="00B50A9A" w:rsidRDefault="003D341F">
      <w:pPr>
        <w:numPr>
          <w:ilvl w:val="0"/>
          <w:numId w:val="3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>pozostałych w tym zajętych na prowadzenie odpłatnej statutowej działalności pożytku publicznego przez organizacje pożytku publicznego (od 1 m</w:t>
      </w:r>
      <w:r>
        <w:rPr>
          <w:rFonts w:ascii="Arial Narrow" w:hAnsi="Arial Narrow"/>
          <w:color w:val="000000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powierzchni)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0,73 zł</w:t>
      </w:r>
    </w:p>
    <w:p w:rsidR="00B50A9A" w:rsidRDefault="003D341F">
      <w:pPr>
        <w:numPr>
          <w:ilvl w:val="0"/>
          <w:numId w:val="3"/>
        </w:numPr>
        <w:spacing w:before="120" w:after="120" w:line="259" w:lineRule="auto"/>
        <w:contextualSpacing/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niezabudowanych objętych obszarami rewitalizacji, o których mowa w ustawie z dnia 9 października 2015 r. o rewitalizacji (Dz.U. z 2024 r. poz. 278) i położonych na terenach, dla których miejscowy plan zagospodarowania przestrzennego przewiduje przeznaczenie pod 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lastRenderedPageBreak/>
        <w:t>zabudowę mieszkaniową, usługową albo zabudowę o przeznaczeniu mieszanym obowiązującym wyłącznie te rodzaje zabudowy, jeżeli od dnia wejścia w życie tego planu w odniesieniu do tych gruntów upłynął okres 4 lat, a w tym czasie nie zakończono budowy zgodnie z przepisami prawa budowlanego od 1 m</w:t>
      </w:r>
      <w:r>
        <w:rPr>
          <w:rFonts w:ascii="Arial Narrow" w:hAnsi="Arial Narrow"/>
          <w:color w:val="000000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 xml:space="preserve"> powierzchni – </w:t>
      </w:r>
      <w:r>
        <w:rPr>
          <w:rFonts w:ascii="Arial Narrow" w:hAnsi="Arial Narrow"/>
          <w:b/>
          <w:color w:val="000000"/>
          <w:sz w:val="24"/>
          <w:szCs w:val="20"/>
          <w:u w:color="000000"/>
          <w:lang w:eastAsia="en-US" w:bidi="ar-SA"/>
        </w:rPr>
        <w:t>4,51 zł</w:t>
      </w:r>
      <w:r>
        <w:rPr>
          <w:rFonts w:ascii="Arial Narrow" w:hAnsi="Arial Narrow"/>
          <w:color w:val="000000"/>
          <w:sz w:val="24"/>
          <w:szCs w:val="20"/>
          <w:u w:color="000000"/>
          <w:lang w:eastAsia="en-US" w:bidi="ar-SA"/>
        </w:rPr>
        <w:t>.</w:t>
      </w:r>
    </w:p>
    <w:p w:rsidR="00B50A9A" w:rsidRDefault="003D341F">
      <w:pPr>
        <w:spacing w:before="120" w:after="120"/>
        <w:ind w:left="510" w:firstLine="341"/>
        <w:rPr>
          <w:rFonts w:ascii="Arial Narrow" w:hAnsi="Arial Narrow"/>
          <w:sz w:val="24"/>
          <w:szCs w:val="20"/>
          <w:u w:color="000000"/>
        </w:rPr>
      </w:pPr>
      <w:r>
        <w:rPr>
          <w:rFonts w:ascii="Arial Narrow" w:hAnsi="Arial Narrow"/>
          <w:sz w:val="24"/>
          <w:szCs w:val="20"/>
          <w:u w:color="000000"/>
        </w:rPr>
        <w:t xml:space="preserve">Kierując się koniecznością zapewnienia środków finansowych na zaspokojenie rosnących potrzeb w zakresie wydatków, a także koniecznością podjęcia działań rozwojowych Miasta, proponuje się podniesienie stawek podatku od nieruchomości. </w:t>
      </w:r>
    </w:p>
    <w:p w:rsidR="00B50A9A" w:rsidRDefault="003D341F">
      <w:pPr>
        <w:spacing w:before="120" w:after="120"/>
        <w:ind w:left="510"/>
        <w:rPr>
          <w:rFonts w:ascii="Arial Narrow" w:hAnsi="Arial Narrow"/>
          <w:sz w:val="24"/>
          <w:szCs w:val="20"/>
          <w:u w:color="000000"/>
        </w:rPr>
      </w:pPr>
      <w:r>
        <w:rPr>
          <w:rFonts w:ascii="Arial Narrow" w:hAnsi="Arial Narrow"/>
          <w:sz w:val="24"/>
          <w:szCs w:val="20"/>
          <w:u w:color="000000"/>
        </w:rPr>
        <w:t>W przedłożonym projekcie uchwały zaproponowano waloryzację o 12% stawek podatkowych obowiązujących w 2024 roku zaokrąglając je zgodnie z regułą wynikającą z art. 20 ust. 2 wyżej wymienionej ustawy (do pełnych groszy w górę).</w:t>
      </w:r>
    </w:p>
    <w:p w:rsidR="00B50A9A" w:rsidRDefault="003D341F">
      <w:pPr>
        <w:spacing w:before="120" w:after="120"/>
        <w:ind w:left="510"/>
        <w:rPr>
          <w:rFonts w:ascii="Arial Narrow" w:hAnsi="Arial Narrow"/>
          <w:sz w:val="24"/>
          <w:szCs w:val="20"/>
          <w:u w:color="000000"/>
        </w:rPr>
      </w:pPr>
      <w:r>
        <w:rPr>
          <w:rFonts w:ascii="Arial Narrow" w:hAnsi="Arial Narrow"/>
          <w:sz w:val="24"/>
          <w:szCs w:val="20"/>
          <w:u w:color="000000"/>
        </w:rPr>
        <w:t>Po zmianie stawek obciążenie finansowe dla właścicieli przykładowych nieruchomości będzie przedstawiało się następująco:</w:t>
      </w:r>
    </w:p>
    <w:p w:rsidR="00B50A9A" w:rsidRDefault="003D341F">
      <w:pPr>
        <w:numPr>
          <w:ilvl w:val="0"/>
          <w:numId w:val="4"/>
        </w:numPr>
        <w:spacing w:before="120" w:after="120" w:line="259" w:lineRule="auto"/>
        <w:ind w:left="870"/>
        <w:contextualSpacing/>
        <w:rPr>
          <w:rFonts w:ascii="Arial Narrow" w:hAnsi="Arial Narrow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sz w:val="24"/>
          <w:szCs w:val="20"/>
          <w:u w:color="000000"/>
          <w:lang w:eastAsia="en-US" w:bidi="ar-SA"/>
        </w:rPr>
        <w:t>dla lokalu mieszkalnego o powierzchni 70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 xml:space="preserve">2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>z przynależnym gruntem o powierzchni 55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 xml:space="preserve">2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 xml:space="preserve">wzrost o 12,80 zł rocznie, </w:t>
      </w:r>
    </w:p>
    <w:p w:rsidR="00B50A9A" w:rsidRDefault="003D341F">
      <w:pPr>
        <w:numPr>
          <w:ilvl w:val="0"/>
          <w:numId w:val="4"/>
        </w:numPr>
        <w:spacing w:before="120" w:after="120" w:line="259" w:lineRule="auto"/>
        <w:ind w:left="870"/>
        <w:contextualSpacing/>
        <w:rPr>
          <w:rFonts w:ascii="Arial Narrow" w:hAnsi="Arial Narrow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sz w:val="24"/>
          <w:szCs w:val="20"/>
          <w:u w:color="000000"/>
          <w:lang w:eastAsia="en-US" w:bidi="ar-SA"/>
        </w:rPr>
        <w:t>dla budynku mieszkalnego o pow. 140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 xml:space="preserve">2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>i działki gruntu o pow. 329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 xml:space="preserve"> wzrost o kwotę 43,10 zł rocznie,</w:t>
      </w:r>
    </w:p>
    <w:p w:rsidR="00B50A9A" w:rsidRDefault="003D341F">
      <w:pPr>
        <w:numPr>
          <w:ilvl w:val="0"/>
          <w:numId w:val="4"/>
        </w:numPr>
        <w:spacing w:before="120" w:after="120" w:line="259" w:lineRule="auto"/>
        <w:ind w:left="870"/>
        <w:contextualSpacing/>
        <w:rPr>
          <w:rFonts w:ascii="Arial Narrow" w:hAnsi="Arial Narrow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sz w:val="24"/>
          <w:szCs w:val="20"/>
          <w:u w:color="000000"/>
          <w:lang w:eastAsia="en-US" w:bidi="ar-SA"/>
        </w:rPr>
        <w:t>dla budynku mieszkalnego o pow. 306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>, działki gruntu o pow. 1200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 xml:space="preserve"> i garażu o pow. 20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>2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 xml:space="preserve"> oraz budynku gospodarczego o pow. 42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 xml:space="preserve">2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>wzrost o kwotę 205,30 zł rocznie,</w:t>
      </w:r>
    </w:p>
    <w:p w:rsidR="00B50A9A" w:rsidRDefault="003D341F">
      <w:pPr>
        <w:numPr>
          <w:ilvl w:val="0"/>
          <w:numId w:val="4"/>
        </w:numPr>
        <w:spacing w:before="120" w:after="120" w:line="259" w:lineRule="auto"/>
        <w:ind w:left="870"/>
        <w:contextualSpacing/>
        <w:rPr>
          <w:rFonts w:ascii="Arial Narrow" w:hAnsi="Arial Narrow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sz w:val="24"/>
          <w:szCs w:val="20"/>
          <w:u w:color="000000"/>
          <w:lang w:eastAsia="en-US" w:bidi="ar-SA"/>
        </w:rPr>
        <w:t>dla podmiotu prowadzącego działalność gospodarczą, w którego posiadaniu jest budynek o pow. 1000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 xml:space="preserve">2,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>budowle wartości 100.000,00 zł i działka o pow. 4900 m</w:t>
      </w:r>
      <w:r>
        <w:rPr>
          <w:rFonts w:ascii="Arial Narrow" w:hAnsi="Arial Narrow"/>
          <w:sz w:val="24"/>
          <w:szCs w:val="20"/>
          <w:u w:color="000000"/>
          <w:vertAlign w:val="superscript"/>
          <w:lang w:eastAsia="en-US" w:bidi="ar-SA"/>
        </w:rPr>
        <w:t xml:space="preserve">2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t>o kwotę 4.146,00 zł rocznie.</w:t>
      </w:r>
    </w:p>
    <w:p w:rsidR="00B50A9A" w:rsidRDefault="00B50A9A">
      <w:pPr>
        <w:spacing w:before="120" w:after="120" w:line="259" w:lineRule="auto"/>
        <w:ind w:left="643"/>
        <w:contextualSpacing/>
        <w:rPr>
          <w:rFonts w:ascii="Arial Narrow" w:hAnsi="Arial Narrow"/>
          <w:sz w:val="24"/>
          <w:szCs w:val="20"/>
          <w:u w:color="000000"/>
          <w:lang w:eastAsia="en-US" w:bidi="ar-SA"/>
        </w:rPr>
      </w:pPr>
    </w:p>
    <w:p w:rsidR="00B50A9A" w:rsidRDefault="003D341F">
      <w:pPr>
        <w:spacing w:after="120" w:line="259" w:lineRule="auto"/>
        <w:ind w:left="510"/>
        <w:rPr>
          <w:rFonts w:ascii="Arial Narrow" w:hAnsi="Arial Narrow"/>
          <w:sz w:val="24"/>
          <w:szCs w:val="20"/>
          <w:shd w:val="clear" w:color="auto" w:fill="FFFFFF"/>
          <w:lang w:eastAsia="en-US" w:bidi="ar-SA"/>
        </w:rPr>
      </w:pPr>
      <w:r>
        <w:rPr>
          <w:rFonts w:ascii="Arial Narrow" w:hAnsi="Arial Narrow"/>
          <w:sz w:val="24"/>
          <w:szCs w:val="20"/>
          <w:u w:color="000000"/>
          <w:lang w:eastAsia="en-US" w:bidi="ar-SA"/>
        </w:rPr>
        <w:t xml:space="preserve">Podatek od nieruchomości jest ważnym źródłem dochodów własnych Miasta Piotrkowa Trybunalskiego, a działania jakie podejmują jego organy mają bezpośredni wpływ na jego wysokości. Wzrost dochodów z podatku od nieruchomości może w sposób istotny wpłynąć na zbilansowanie i zapewnienie spełnienia reguły wynikającej z art. 242 ustawy z dnia 27 sierpnia 2009 roku o finansach publicznych (tekst jednolity z 2024 r. Dz. U. poz. 1530 ze zm.), zgodnie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br/>
        <w:t>z którą o</w:t>
      </w:r>
      <w:r>
        <w:rPr>
          <w:rFonts w:ascii="Arial Narrow" w:hAnsi="Arial Narrow"/>
          <w:sz w:val="24"/>
          <w:szCs w:val="20"/>
          <w:shd w:val="clear" w:color="auto" w:fill="FFFFFF"/>
          <w:lang w:eastAsia="en-US" w:bidi="ar-SA"/>
        </w:rPr>
        <w:t>rgan stanowiący jednostki samorządu terytorialnego nie może uchwalić budżetu, w którym planowane wydatki bieżące są wyższe niż planowane dochody bieżące powiększone o przychody, o których mowa w art. 217 ust. 2 pkt 5, 7 i 8 ww. ustawy.</w:t>
      </w:r>
    </w:p>
    <w:p w:rsidR="00B50A9A" w:rsidRDefault="003D341F">
      <w:pPr>
        <w:spacing w:after="120" w:line="259" w:lineRule="auto"/>
        <w:ind w:left="510"/>
        <w:rPr>
          <w:rFonts w:ascii="Arial Narrow" w:hAnsi="Arial Narrow"/>
          <w:sz w:val="24"/>
          <w:szCs w:val="20"/>
          <w:lang w:eastAsia="en-US" w:bidi="ar-SA"/>
        </w:rPr>
      </w:pPr>
      <w:r>
        <w:rPr>
          <w:rFonts w:ascii="Arial Narrow" w:hAnsi="Arial Narrow"/>
          <w:sz w:val="24"/>
          <w:szCs w:val="20"/>
          <w:lang w:eastAsia="en-US" w:bidi="ar-SA"/>
        </w:rPr>
        <w:t xml:space="preserve">Uwzględniając fiskalną rolę pełnioną przez podatki oraz ograniczony zakres władztwa gminy </w:t>
      </w:r>
      <w:r>
        <w:rPr>
          <w:rFonts w:ascii="Arial Narrow" w:hAnsi="Arial Narrow"/>
          <w:sz w:val="24"/>
          <w:szCs w:val="20"/>
          <w:lang w:eastAsia="en-US" w:bidi="ar-SA"/>
        </w:rPr>
        <w:br/>
        <w:t xml:space="preserve">w pozyskiwaniu dochodów, racjonalnym jest utrzymanie realnego poziomu dochodów własnych poprzez przynajmniej waloryzację stawek podatkowych. Z tego powodu, ustalając stawki podatku od nieruchomości należy mieć na uwadze nie tylko obciążenia finansowe poszczególnych podatników, ale również potrzeby całej wspólnoty lokalnej i możliwości ich zaspakajania </w:t>
      </w:r>
      <w:r>
        <w:rPr>
          <w:rFonts w:ascii="Arial Narrow" w:hAnsi="Arial Narrow"/>
          <w:sz w:val="24"/>
          <w:szCs w:val="20"/>
          <w:lang w:eastAsia="en-US" w:bidi="ar-SA"/>
        </w:rPr>
        <w:br/>
        <w:t>z uwzględnieniem realizowanych dochodów własnych. Kierując się koniecznością zapewnienia środków finansowych na zaspokojenie potrzeb w zakresie wydatków, w szczególności na edukację, sprawy społeczne oraz organizację komunikacji miejskiej, jak również realizację inwestycji infrastrukturalnych, przy jednoczesnym wzroście cen energii, usług i zmianach ustawowych, proponuje się na 2025 rok waloryzację stawek podatku od nieruchomości na poziomie 12%.</w:t>
      </w:r>
    </w:p>
    <w:p w:rsidR="00B50A9A" w:rsidRDefault="003D341F">
      <w:pPr>
        <w:spacing w:after="120" w:line="259" w:lineRule="auto"/>
        <w:ind w:left="510"/>
        <w:rPr>
          <w:rFonts w:ascii="Arial Narrow" w:hAnsi="Arial Narrow"/>
          <w:sz w:val="24"/>
          <w:szCs w:val="20"/>
          <w:u w:color="000000"/>
          <w:lang w:eastAsia="en-US" w:bidi="ar-SA"/>
        </w:rPr>
      </w:pPr>
      <w:r>
        <w:rPr>
          <w:rFonts w:ascii="Arial Narrow" w:hAnsi="Arial Narrow"/>
          <w:sz w:val="24"/>
          <w:szCs w:val="20"/>
          <w:u w:color="000000"/>
          <w:lang w:eastAsia="en-US" w:bidi="ar-SA"/>
        </w:rPr>
        <w:t xml:space="preserve">W 2025 roku nominalna należność z tytułu podatku od nieruchomości, wyliczona według proponowanych stawek, wzrośnie o 6.549,04 tys. zł, co stanowi wzrost o 9,71 % w relacji do dochodów według stawek z roku 2024. Pozostawienie stawek podatku od nieruchomości na kolejny rok podatkowy, na poziomie 2024 roku, przy jednoczesnym wzroście stawek maksymalnych spowodowałoby różnicę z tytułu nie zastosowania stawek maksymalnych i mogłoby wywołać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lastRenderedPageBreak/>
        <w:t xml:space="preserve">ujemny skutek dla budżetu Miasta w postaci niższej kwoty subwencji ogólnej. Kondycja finansowa Miasta uzależniona jest bezpośrednio od nadwyżki dochodów bieżących nad wydatkami bieżącymi, której istotnym elementem są wpływy z podatków i subwencji. </w:t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fldChar w:fldCharType="begin"/>
      </w:r>
      <w:r>
        <w:rPr>
          <w:rFonts w:ascii="Arial Narrow" w:hAnsi="Arial Narrow"/>
          <w:sz w:val="24"/>
          <w:szCs w:val="20"/>
          <w:u w:color="000000"/>
          <w:lang w:eastAsia="en-US" w:bidi="ar-SA"/>
        </w:rPr>
        <w:fldChar w:fldCharType="end"/>
      </w:r>
    </w:p>
    <w:sectPr w:rsidR="00B50A9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31" w:rsidRDefault="003D341F">
      <w:r>
        <w:separator/>
      </w:r>
    </w:p>
  </w:endnote>
  <w:endnote w:type="continuationSeparator" w:id="0">
    <w:p w:rsidR="00512431" w:rsidRDefault="003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50A9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50A9A" w:rsidRDefault="003D341F">
          <w:pPr>
            <w:jc w:val="left"/>
            <w:rPr>
              <w:sz w:val="18"/>
            </w:rPr>
          </w:pPr>
          <w:r>
            <w:rPr>
              <w:sz w:val="18"/>
            </w:rPr>
            <w:t>Id: E0088A29-B0BC-4D36-A4CC-EFBDA26DD55A.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50A9A" w:rsidRDefault="003D34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3A5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50A9A" w:rsidRDefault="00B50A9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50A9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50A9A" w:rsidRDefault="003D341F">
          <w:pPr>
            <w:jc w:val="left"/>
            <w:rPr>
              <w:sz w:val="18"/>
            </w:rPr>
          </w:pPr>
          <w:r>
            <w:rPr>
              <w:sz w:val="18"/>
            </w:rPr>
            <w:t>Id: E0088A29-B0BC-4D36-A4CC-EFBDA26DD55A.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50A9A" w:rsidRDefault="003D34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3A5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50A9A" w:rsidRDefault="00B50A9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31" w:rsidRDefault="003D341F">
      <w:r>
        <w:separator/>
      </w:r>
    </w:p>
  </w:footnote>
  <w:footnote w:type="continuationSeparator" w:id="0">
    <w:p w:rsidR="00512431" w:rsidRDefault="003D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30188"/>
    <w:multiLevelType w:val="hybridMultilevel"/>
    <w:tmpl w:val="00000000"/>
    <w:lvl w:ilvl="0" w:tplc="EE20CE1A">
      <w:start w:val="1"/>
      <w:numFmt w:val="lowerLetter"/>
      <w:lvlText w:val="%1)"/>
      <w:lvlJc w:val="left"/>
      <w:pPr>
        <w:ind w:left="1230" w:hanging="360"/>
      </w:pPr>
    </w:lvl>
    <w:lvl w:ilvl="1" w:tplc="5ED8F7F4">
      <w:start w:val="1"/>
      <w:numFmt w:val="lowerLetter"/>
      <w:lvlText w:val="%2."/>
      <w:lvlJc w:val="left"/>
      <w:pPr>
        <w:ind w:left="1950" w:hanging="360"/>
      </w:pPr>
    </w:lvl>
    <w:lvl w:ilvl="2" w:tplc="E60ABD6E">
      <w:start w:val="1"/>
      <w:numFmt w:val="lowerRoman"/>
      <w:lvlText w:val="%3."/>
      <w:lvlJc w:val="right"/>
      <w:pPr>
        <w:ind w:left="2670" w:hanging="180"/>
      </w:pPr>
    </w:lvl>
    <w:lvl w:ilvl="3" w:tplc="AB6E1BF4">
      <w:start w:val="1"/>
      <w:numFmt w:val="decimal"/>
      <w:lvlText w:val="%4."/>
      <w:lvlJc w:val="left"/>
      <w:pPr>
        <w:ind w:left="3390" w:hanging="360"/>
      </w:pPr>
    </w:lvl>
    <w:lvl w:ilvl="4" w:tplc="9E826F82">
      <w:start w:val="1"/>
      <w:numFmt w:val="lowerLetter"/>
      <w:lvlText w:val="%5."/>
      <w:lvlJc w:val="left"/>
      <w:pPr>
        <w:ind w:left="4110" w:hanging="360"/>
      </w:pPr>
    </w:lvl>
    <w:lvl w:ilvl="5" w:tplc="6902EDEE">
      <w:start w:val="1"/>
      <w:numFmt w:val="lowerRoman"/>
      <w:lvlText w:val="%6."/>
      <w:lvlJc w:val="right"/>
      <w:pPr>
        <w:ind w:left="4830" w:hanging="180"/>
      </w:pPr>
    </w:lvl>
    <w:lvl w:ilvl="6" w:tplc="50926E10">
      <w:start w:val="1"/>
      <w:numFmt w:val="decimal"/>
      <w:lvlText w:val="%7."/>
      <w:lvlJc w:val="left"/>
      <w:pPr>
        <w:ind w:left="5550" w:hanging="360"/>
      </w:pPr>
    </w:lvl>
    <w:lvl w:ilvl="7" w:tplc="FA124F06">
      <w:start w:val="1"/>
      <w:numFmt w:val="lowerLetter"/>
      <w:lvlText w:val="%8."/>
      <w:lvlJc w:val="left"/>
      <w:pPr>
        <w:ind w:left="6270" w:hanging="360"/>
      </w:pPr>
    </w:lvl>
    <w:lvl w:ilvl="8" w:tplc="29D41970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9644FE5"/>
    <w:multiLevelType w:val="hybridMultilevel"/>
    <w:tmpl w:val="00000000"/>
    <w:lvl w:ilvl="0" w:tplc="9B6AD6E6">
      <w:start w:val="1"/>
      <w:numFmt w:val="lowerLetter"/>
      <w:lvlText w:val="%1)"/>
      <w:lvlJc w:val="left"/>
      <w:pPr>
        <w:ind w:left="1230" w:hanging="360"/>
      </w:pPr>
    </w:lvl>
    <w:lvl w:ilvl="1" w:tplc="C3A65372">
      <w:start w:val="1"/>
      <w:numFmt w:val="lowerLetter"/>
      <w:lvlText w:val="%2."/>
      <w:lvlJc w:val="left"/>
      <w:pPr>
        <w:ind w:left="1950" w:hanging="360"/>
      </w:pPr>
    </w:lvl>
    <w:lvl w:ilvl="2" w:tplc="9D4C1014">
      <w:start w:val="1"/>
      <w:numFmt w:val="lowerRoman"/>
      <w:lvlText w:val="%3."/>
      <w:lvlJc w:val="right"/>
      <w:pPr>
        <w:ind w:left="2670" w:hanging="180"/>
      </w:pPr>
    </w:lvl>
    <w:lvl w:ilvl="3" w:tplc="16CC00B0">
      <w:start w:val="1"/>
      <w:numFmt w:val="decimal"/>
      <w:lvlText w:val="%4."/>
      <w:lvlJc w:val="left"/>
      <w:pPr>
        <w:ind w:left="3390" w:hanging="360"/>
      </w:pPr>
    </w:lvl>
    <w:lvl w:ilvl="4" w:tplc="E0F827F0">
      <w:start w:val="1"/>
      <w:numFmt w:val="lowerLetter"/>
      <w:lvlText w:val="%5."/>
      <w:lvlJc w:val="left"/>
      <w:pPr>
        <w:ind w:left="4110" w:hanging="360"/>
      </w:pPr>
    </w:lvl>
    <w:lvl w:ilvl="5" w:tplc="75ACB862">
      <w:start w:val="1"/>
      <w:numFmt w:val="lowerRoman"/>
      <w:lvlText w:val="%6."/>
      <w:lvlJc w:val="right"/>
      <w:pPr>
        <w:ind w:left="4830" w:hanging="180"/>
      </w:pPr>
    </w:lvl>
    <w:lvl w:ilvl="6" w:tplc="3648BF98">
      <w:start w:val="1"/>
      <w:numFmt w:val="decimal"/>
      <w:lvlText w:val="%7."/>
      <w:lvlJc w:val="left"/>
      <w:pPr>
        <w:ind w:left="5550" w:hanging="360"/>
      </w:pPr>
    </w:lvl>
    <w:lvl w:ilvl="7" w:tplc="C7F824BA">
      <w:start w:val="1"/>
      <w:numFmt w:val="lowerLetter"/>
      <w:lvlText w:val="%8."/>
      <w:lvlJc w:val="left"/>
      <w:pPr>
        <w:ind w:left="6270" w:hanging="360"/>
      </w:pPr>
    </w:lvl>
    <w:lvl w:ilvl="8" w:tplc="4474636C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7AB079A6"/>
    <w:multiLevelType w:val="hybridMultilevel"/>
    <w:tmpl w:val="00000000"/>
    <w:lvl w:ilvl="0" w:tplc="804C4B54">
      <w:start w:val="1"/>
      <w:numFmt w:val="decimal"/>
      <w:lvlText w:val="%1."/>
      <w:lvlJc w:val="left"/>
      <w:pPr>
        <w:ind w:left="643" w:hanging="360"/>
      </w:pPr>
    </w:lvl>
    <w:lvl w:ilvl="1" w:tplc="502CFCB8">
      <w:start w:val="1"/>
      <w:numFmt w:val="lowerLetter"/>
      <w:lvlText w:val="%2."/>
      <w:lvlJc w:val="left"/>
      <w:pPr>
        <w:ind w:left="1363" w:hanging="360"/>
      </w:pPr>
    </w:lvl>
    <w:lvl w:ilvl="2" w:tplc="CCFC6EA0">
      <w:start w:val="1"/>
      <w:numFmt w:val="lowerRoman"/>
      <w:lvlText w:val="%3."/>
      <w:lvlJc w:val="right"/>
      <w:pPr>
        <w:ind w:left="2083" w:hanging="180"/>
      </w:pPr>
    </w:lvl>
    <w:lvl w:ilvl="3" w:tplc="5B6EEBA8">
      <w:start w:val="1"/>
      <w:numFmt w:val="decimal"/>
      <w:lvlText w:val="%4."/>
      <w:lvlJc w:val="left"/>
      <w:pPr>
        <w:ind w:left="2803" w:hanging="360"/>
      </w:pPr>
    </w:lvl>
    <w:lvl w:ilvl="4" w:tplc="4880C35A">
      <w:start w:val="1"/>
      <w:numFmt w:val="lowerLetter"/>
      <w:lvlText w:val="%5."/>
      <w:lvlJc w:val="left"/>
      <w:pPr>
        <w:ind w:left="3523" w:hanging="360"/>
      </w:pPr>
    </w:lvl>
    <w:lvl w:ilvl="5" w:tplc="CBFAD366">
      <w:start w:val="1"/>
      <w:numFmt w:val="lowerRoman"/>
      <w:lvlText w:val="%6."/>
      <w:lvlJc w:val="right"/>
      <w:pPr>
        <w:ind w:left="4243" w:hanging="180"/>
      </w:pPr>
    </w:lvl>
    <w:lvl w:ilvl="6" w:tplc="73283ABE">
      <w:start w:val="1"/>
      <w:numFmt w:val="decimal"/>
      <w:lvlText w:val="%7."/>
      <w:lvlJc w:val="left"/>
      <w:pPr>
        <w:ind w:left="4963" w:hanging="360"/>
      </w:pPr>
    </w:lvl>
    <w:lvl w:ilvl="7" w:tplc="19FC36D4">
      <w:start w:val="1"/>
      <w:numFmt w:val="lowerLetter"/>
      <w:lvlText w:val="%8."/>
      <w:lvlJc w:val="left"/>
      <w:pPr>
        <w:ind w:left="5683" w:hanging="360"/>
      </w:pPr>
    </w:lvl>
    <w:lvl w:ilvl="8" w:tplc="B4FA7F8E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F610234"/>
    <w:multiLevelType w:val="hybridMultilevel"/>
    <w:tmpl w:val="00000000"/>
    <w:lvl w:ilvl="0" w:tplc="721AD0F6">
      <w:start w:val="1"/>
      <w:numFmt w:val="decimal"/>
      <w:lvlText w:val="%1."/>
      <w:lvlJc w:val="left"/>
      <w:pPr>
        <w:ind w:left="870" w:hanging="360"/>
      </w:pPr>
    </w:lvl>
    <w:lvl w:ilvl="1" w:tplc="FF74A58C">
      <w:start w:val="1"/>
      <w:numFmt w:val="lowerLetter"/>
      <w:lvlText w:val="%2."/>
      <w:lvlJc w:val="left"/>
      <w:pPr>
        <w:ind w:left="1590" w:hanging="360"/>
      </w:pPr>
    </w:lvl>
    <w:lvl w:ilvl="2" w:tplc="89B8F09A">
      <w:start w:val="1"/>
      <w:numFmt w:val="lowerRoman"/>
      <w:lvlText w:val="%3."/>
      <w:lvlJc w:val="right"/>
      <w:pPr>
        <w:ind w:left="2310" w:hanging="180"/>
      </w:pPr>
    </w:lvl>
    <w:lvl w:ilvl="3" w:tplc="C2E68606">
      <w:start w:val="1"/>
      <w:numFmt w:val="decimal"/>
      <w:lvlText w:val="%4."/>
      <w:lvlJc w:val="left"/>
      <w:pPr>
        <w:ind w:left="3030" w:hanging="360"/>
      </w:pPr>
    </w:lvl>
    <w:lvl w:ilvl="4" w:tplc="0A42EC1C">
      <w:start w:val="1"/>
      <w:numFmt w:val="lowerLetter"/>
      <w:lvlText w:val="%5."/>
      <w:lvlJc w:val="left"/>
      <w:pPr>
        <w:ind w:left="3750" w:hanging="360"/>
      </w:pPr>
    </w:lvl>
    <w:lvl w:ilvl="5" w:tplc="A91E501A">
      <w:start w:val="1"/>
      <w:numFmt w:val="lowerRoman"/>
      <w:lvlText w:val="%6."/>
      <w:lvlJc w:val="right"/>
      <w:pPr>
        <w:ind w:left="4470" w:hanging="180"/>
      </w:pPr>
    </w:lvl>
    <w:lvl w:ilvl="6" w:tplc="61045104">
      <w:start w:val="1"/>
      <w:numFmt w:val="decimal"/>
      <w:lvlText w:val="%7."/>
      <w:lvlJc w:val="left"/>
      <w:pPr>
        <w:ind w:left="5190" w:hanging="360"/>
      </w:pPr>
    </w:lvl>
    <w:lvl w:ilvl="7" w:tplc="882EBD78">
      <w:start w:val="1"/>
      <w:numFmt w:val="lowerLetter"/>
      <w:lvlText w:val="%8."/>
      <w:lvlJc w:val="left"/>
      <w:pPr>
        <w:ind w:left="5910" w:hanging="360"/>
      </w:pPr>
    </w:lvl>
    <w:lvl w:ilvl="8" w:tplc="29FE560A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D341F"/>
    <w:rsid w:val="00512431"/>
    <w:rsid w:val="00753A5B"/>
    <w:rsid w:val="00A77B3E"/>
    <w:rsid w:val="00B50A9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68FD0C-AB19-4D62-9575-10DF3270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  <w:jc w:val="left"/>
    </w:pPr>
    <w:rPr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9231</Characters>
  <Application>Microsoft Office Word</Application>
  <DocSecurity>4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wysokości stawek podatku od nieruchomości</dc:subject>
  <dc:creator>Szewczyk_E</dc:creator>
  <cp:lastModifiedBy>Baryła Marlena</cp:lastModifiedBy>
  <cp:revision>2</cp:revision>
  <dcterms:created xsi:type="dcterms:W3CDTF">2024-11-27T08:45:00Z</dcterms:created>
  <dcterms:modified xsi:type="dcterms:W3CDTF">2024-11-27T08:45:00Z</dcterms:modified>
  <cp:category>Akt prawny</cp:category>
</cp:coreProperties>
</file>