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653AA54" w14:textId="77777777" w:rsidR="00A77B3E" w:rsidRDefault="00000000">
      <w:pPr>
        <w:ind w:left="5669"/>
        <w:jc w:val="left"/>
        <w:rPr>
          <w:b/>
          <w:i/>
          <w:sz w:val="20"/>
          <w:u w:val="thick"/>
        </w:rPr>
      </w:pPr>
      <w:r>
        <w:rPr>
          <w:b/>
          <w:i/>
          <w:sz w:val="20"/>
          <w:u w:val="thick"/>
        </w:rPr>
        <w:t>Projekt</w:t>
      </w:r>
    </w:p>
    <w:p w14:paraId="42BA3760" w14:textId="77777777" w:rsidR="00A77B3E" w:rsidRDefault="00A77B3E">
      <w:pPr>
        <w:ind w:left="5669"/>
        <w:jc w:val="left"/>
        <w:rPr>
          <w:b/>
          <w:i/>
          <w:sz w:val="20"/>
          <w:u w:val="thick"/>
        </w:rPr>
      </w:pPr>
    </w:p>
    <w:p w14:paraId="7CEB3610" w14:textId="77777777" w:rsidR="00A77B3E" w:rsidRDefault="00000000">
      <w:pPr>
        <w:ind w:left="5669"/>
        <w:jc w:val="left"/>
        <w:rPr>
          <w:sz w:val="20"/>
        </w:rPr>
      </w:pPr>
      <w:r>
        <w:rPr>
          <w:sz w:val="20"/>
        </w:rPr>
        <w:t>z dnia  14 października 2024 r.</w:t>
      </w:r>
    </w:p>
    <w:p w14:paraId="6685FBFF" w14:textId="77777777" w:rsidR="00A77B3E" w:rsidRDefault="00000000">
      <w:pPr>
        <w:ind w:left="5669"/>
        <w:jc w:val="left"/>
        <w:rPr>
          <w:sz w:val="20"/>
        </w:rPr>
      </w:pPr>
      <w:r>
        <w:rPr>
          <w:sz w:val="20"/>
        </w:rPr>
        <w:t>Zatwierdzony przez .........................</w:t>
      </w:r>
    </w:p>
    <w:p w14:paraId="3D214CF7" w14:textId="77777777" w:rsidR="00A77B3E" w:rsidRDefault="00A77B3E">
      <w:pPr>
        <w:ind w:left="5669"/>
        <w:jc w:val="left"/>
        <w:rPr>
          <w:sz w:val="20"/>
        </w:rPr>
      </w:pPr>
    </w:p>
    <w:p w14:paraId="419265B7" w14:textId="77777777" w:rsidR="00A77B3E" w:rsidRDefault="00A77B3E">
      <w:pPr>
        <w:ind w:left="5669"/>
        <w:jc w:val="left"/>
        <w:rPr>
          <w:sz w:val="20"/>
        </w:rPr>
      </w:pPr>
    </w:p>
    <w:p w14:paraId="2854E9FC" w14:textId="77777777" w:rsidR="00A77B3E" w:rsidRDefault="00000000">
      <w:pPr>
        <w:jc w:val="center"/>
        <w:rPr>
          <w:b/>
          <w:caps/>
        </w:rPr>
      </w:pPr>
      <w:r>
        <w:rPr>
          <w:b/>
          <w:caps/>
        </w:rPr>
        <w:t>Uchwała Nr ....................</w:t>
      </w:r>
      <w:r>
        <w:rPr>
          <w:b/>
          <w:caps/>
        </w:rPr>
        <w:br/>
        <w:t>Rady Miasta Piotrkowa Trybunalskiego</w:t>
      </w:r>
    </w:p>
    <w:p w14:paraId="5CA12D7B" w14:textId="77777777" w:rsidR="00A77B3E" w:rsidRDefault="00000000">
      <w:pPr>
        <w:spacing w:before="280" w:after="280"/>
        <w:jc w:val="center"/>
        <w:rPr>
          <w:b/>
          <w:caps/>
        </w:rPr>
      </w:pPr>
      <w:r>
        <w:t>z dnia .................... 2024 r.</w:t>
      </w:r>
    </w:p>
    <w:p w14:paraId="2E5AA5B8" w14:textId="77777777" w:rsidR="00A77B3E" w:rsidRDefault="00000000">
      <w:pPr>
        <w:keepNext/>
        <w:spacing w:after="480"/>
        <w:jc w:val="center"/>
      </w:pPr>
      <w:r>
        <w:rPr>
          <w:b/>
        </w:rPr>
        <w:t>w sprawie miejscowego planu zagospodarowania przestrzennego w rejonie ulic: Łódzkiej i Sadowej w Piotrkowie Trybunalskim.</w:t>
      </w:r>
    </w:p>
    <w:p w14:paraId="66945C1B" w14:textId="77777777" w:rsidR="00A77B3E" w:rsidRDefault="00000000">
      <w:pPr>
        <w:keepLines/>
        <w:spacing w:before="120" w:after="120"/>
        <w:ind w:firstLine="227"/>
      </w:pPr>
      <w:r>
        <w:t>Na podstawie art. 20 ust. 1 i art. 29 ustawy z dnia 27 marca 2003 r. o planowaniu i zagospodarowaniu przestrzennym (Dz. U. z 2024 r. poz. 1130) w związku z art. 67 ust. 3 ustawy z dnia 7 lipca 2023 r. o zmianie ustawy o planowaniu i zagospodarowaniu przestrzennym oraz niektórych innych ustaw (Dz. U.  z 2023 r. poz. 1688) uchwala się, co następuje:</w:t>
      </w:r>
    </w:p>
    <w:p w14:paraId="649E76F6" w14:textId="77777777" w:rsidR="00A77B3E" w:rsidRDefault="00000000">
      <w:pPr>
        <w:keepNext/>
        <w:keepLines/>
        <w:jc w:val="center"/>
      </w:pPr>
      <w:r>
        <w:rPr>
          <w:b/>
          <w:caps/>
        </w:rPr>
        <w:t>Dział I.</w:t>
      </w:r>
      <w:r>
        <w:br/>
      </w:r>
      <w:r>
        <w:rPr>
          <w:b/>
        </w:rPr>
        <w:t>POSTANOWIENIA OGÓLNE</w:t>
      </w:r>
    </w:p>
    <w:p w14:paraId="2E469E93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1. </w:t>
      </w:r>
      <w:r>
        <w:t>1. Stwierdza się, że miejscowy plan zagospodarowania przestrzennego w rejonie ulic: Łódzkiej i Sadowej w Piotrkowie Trybunalskim, nie narusza ustaleń obowiązującego „Studium uwarunkowań i kierunków zagospodarowania przestrzennego miasta Piotrkowa Trybunalskiego” przyjętego Uchwałą Nr XLIX/837/06 Rady Miasta Piotrkowa Trybunalskiego z dnia 29 marca 2006 roku z późniejszymi zmianami, przyjętymi Uchwałą Nr XIV/297/11 z dnia 30 listopada 2011 r., Uchwałą Nr XXVII/359/16 z dnia 26 października 2016 r., Uchwałą Nr XLVII/566/17 z dnia 25 października 2017 r. i Uchwałą Nr XLIX/625/22 z dnia 30 marca 2022 r.</w:t>
      </w:r>
    </w:p>
    <w:p w14:paraId="663E33C2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Uchwala się miejscowy plan zagospodarowania przestrzennego w rejonie ulic: Łódzkiej i Sadowej w Piotrkowie Trybunalskim w granicach określonych w Uchwale Nr LI/651/22 Rady Miasta Piotrkowa Trybunalskiego z dnia 25 maja 2022 roku w sprawie przystąpienia do sporządzenia miejscowego planu zagospodarowania przestrzennego w rejonie ulic: Łódzkiej i Sadowej w Piotrkowie Trybunalskim, zwany dalej „planem”.</w:t>
      </w:r>
    </w:p>
    <w:p w14:paraId="7B5488D1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Granice obszaru objętego planem wyznaczone są na rysunku planu.</w:t>
      </w:r>
    </w:p>
    <w:p w14:paraId="7511B6FA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Integralną częścią Uchwały są:</w:t>
      </w:r>
    </w:p>
    <w:p w14:paraId="43A59B2B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rysunek planu, stanowiący załącznik Nr 1 do niniejszej uchwały, wykonany na kopii mapy zasadniczej w skali 1:1000 pochodzącej z państwowego zasobu geodezyjnego i kartograficznego;</w:t>
      </w:r>
    </w:p>
    <w:p w14:paraId="433E8E52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rozstrzygnięcie dotyczące sposobu rozpatrzenia uwag zgłoszonych do projektu planu, stanowiące załącznik Nr 2 do niniejszej uchwały;</w:t>
      </w:r>
    </w:p>
    <w:p w14:paraId="51E6C77D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rozstrzygnięcie dotyczące sposobu realizacji, zapisanych w planie, inwestycji z zakresu infrastruktury technicznej, które należą do zadań własnych gminy oraz zasad ich finansowania, zgodnie z przepisami ustawy o finansach publicznych, stanowiące załącznik nr 3 do niniejszej uchwały;</w:t>
      </w:r>
    </w:p>
    <w:p w14:paraId="1D7FEF3D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dane przestrzenne, stanowiące załącznik Nr 4 do niniejszej uchwały.</w:t>
      </w:r>
    </w:p>
    <w:p w14:paraId="5009AF0E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color w:val="000000"/>
          <w:u w:color="000000"/>
        </w:rPr>
        <w:t>Przedmiotem ustaleń planu są:</w:t>
      </w:r>
    </w:p>
    <w:p w14:paraId="1E8D9942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teren zabudowy mieszkaniowej wielorodzinnej, oznaczony na rysunku planu symbolem MW;</w:t>
      </w:r>
    </w:p>
    <w:p w14:paraId="393D4567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teren usług, oznaczony na rysunku planu symbolem U;</w:t>
      </w:r>
    </w:p>
    <w:p w14:paraId="7E9C64BE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teren zabudowy mieszkaniowej wielorodzinnej lub usług, oznaczony na rysunku planu symbolem MW-U;</w:t>
      </w:r>
    </w:p>
    <w:p w14:paraId="50D1D58B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teren drogi dojazdowej, oznaczony na rysunku planu symbolem KDD;</w:t>
      </w:r>
    </w:p>
    <w:p w14:paraId="1CFA0D8A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teren komunikacji drogowej wewnętrznej, oznaczony na rysunku planu symbolem KR;</w:t>
      </w:r>
    </w:p>
    <w:p w14:paraId="3FE62B05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teren komunikacji pieszej, oznaczony na rysunku planu symbolem KPP;</w:t>
      </w:r>
    </w:p>
    <w:p w14:paraId="7C0D2805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lastRenderedPageBreak/>
        <w:t>7) </w:t>
      </w:r>
      <w:r>
        <w:rPr>
          <w:color w:val="000000"/>
          <w:u w:color="000000"/>
        </w:rPr>
        <w:t>teren parkingu, oznaczony na rysunku planu symbolem KOP;</w:t>
      </w:r>
    </w:p>
    <w:p w14:paraId="1FC5336A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>teren elektroenergetyki, oznaczony na rysunku planu symbolem IE;</w:t>
      </w:r>
    </w:p>
    <w:p w14:paraId="6B523D0D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9) </w:t>
      </w:r>
      <w:r>
        <w:rPr>
          <w:color w:val="000000"/>
          <w:u w:color="000000"/>
        </w:rPr>
        <w:t>teren zieleni urządzonej, oznaczony na rysunku planu symbolem ZP.</w:t>
      </w:r>
    </w:p>
    <w:p w14:paraId="4CFD09DE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2. </w:t>
      </w:r>
      <w:r>
        <w:t>1. </w:t>
      </w:r>
      <w:r>
        <w:rPr>
          <w:color w:val="000000"/>
          <w:u w:color="000000"/>
        </w:rPr>
        <w:t>Następujące oznaczenia graficzne na rysunku planu są obowiązującymi ustaleniami planu:</w:t>
      </w:r>
    </w:p>
    <w:p w14:paraId="22706417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granica obszaru objętego planem;</w:t>
      </w:r>
    </w:p>
    <w:p w14:paraId="4CBC830C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linia rozgraniczająca tereny o różnym przeznaczeniu lub różnych zasadach zagospodarowania;</w:t>
      </w:r>
    </w:p>
    <w:p w14:paraId="76FC4224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nieprzekraczalna linia zabudowy;</w:t>
      </w:r>
    </w:p>
    <w:p w14:paraId="468256AA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przeznaczenie terenów:</w:t>
      </w:r>
    </w:p>
    <w:p w14:paraId="11438DB4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teren zabudowy mieszkaniowej wielorodzinnej,</w:t>
      </w:r>
    </w:p>
    <w:p w14:paraId="679FF2FA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teren usług,</w:t>
      </w:r>
    </w:p>
    <w:p w14:paraId="7E3950AF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teren zabudowy mieszkaniowej wielorodzinnej lub usług,</w:t>
      </w:r>
    </w:p>
    <w:p w14:paraId="77D9510B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teren drogi dojazdowej,</w:t>
      </w:r>
    </w:p>
    <w:p w14:paraId="6706FC6B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e) </w:t>
      </w:r>
      <w:r>
        <w:rPr>
          <w:color w:val="000000"/>
          <w:u w:color="000000"/>
        </w:rPr>
        <w:t>teren komunikacji drogowej wewnętrznej,</w:t>
      </w:r>
    </w:p>
    <w:p w14:paraId="120E8498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f) </w:t>
      </w:r>
      <w:r>
        <w:rPr>
          <w:color w:val="000000"/>
          <w:u w:color="000000"/>
        </w:rPr>
        <w:t>teren komunikacji pieszej,</w:t>
      </w:r>
    </w:p>
    <w:p w14:paraId="52016806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g) </w:t>
      </w:r>
      <w:r>
        <w:rPr>
          <w:color w:val="000000"/>
          <w:u w:color="000000"/>
        </w:rPr>
        <w:t>teren parkingu,</w:t>
      </w:r>
    </w:p>
    <w:p w14:paraId="1B009FD9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h) </w:t>
      </w:r>
      <w:r>
        <w:rPr>
          <w:color w:val="000000"/>
          <w:u w:color="000000"/>
        </w:rPr>
        <w:t>teren elektroenergetyki,</w:t>
      </w:r>
    </w:p>
    <w:p w14:paraId="0201105E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i) </w:t>
      </w:r>
      <w:r>
        <w:rPr>
          <w:color w:val="000000"/>
          <w:u w:color="000000"/>
        </w:rPr>
        <w:t>teren zieleni urządzonej;</w:t>
      </w:r>
    </w:p>
    <w:p w14:paraId="7DDD9307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strefa oddziaływania od sieci wodociągowej;</w:t>
      </w:r>
    </w:p>
    <w:p w14:paraId="385E6C2E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strefa oddziaływania od sieci kanalizacji sanitarnej;</w:t>
      </w:r>
    </w:p>
    <w:p w14:paraId="1968FC33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strefa oddziaływania od sieci kanalizacji deszczowej;</w:t>
      </w:r>
    </w:p>
    <w:p w14:paraId="6BA0020C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>strefa oddziaływania od sieci ciepłowniczej;</w:t>
      </w:r>
    </w:p>
    <w:p w14:paraId="747B782C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9) </w:t>
      </w:r>
      <w:r>
        <w:rPr>
          <w:color w:val="000000"/>
          <w:u w:color="000000"/>
        </w:rPr>
        <w:t>strefa kontrolowana dla gazociągów;</w:t>
      </w:r>
    </w:p>
    <w:p w14:paraId="3FBE2CE4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10) </w:t>
      </w:r>
      <w:r>
        <w:rPr>
          <w:color w:val="000000"/>
          <w:u w:color="000000"/>
        </w:rPr>
        <w:t>granica strefy oddziaływania od lotniska Piotrków Trybunalski.</w:t>
      </w:r>
    </w:p>
    <w:p w14:paraId="7DCCF8DF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Pozostałe oznaczenia graficzne na rysunku planu, niewymienione w ust. 1., są oznaczeniami informacyjnymi.</w:t>
      </w:r>
    </w:p>
    <w:p w14:paraId="3B747F3E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3. </w:t>
      </w:r>
      <w:r>
        <w:rPr>
          <w:color w:val="000000"/>
          <w:u w:color="000000"/>
        </w:rPr>
        <w:t>Ilekroć w przepisach niniejszej uchwały jest mowa o:</w:t>
      </w:r>
    </w:p>
    <w:p w14:paraId="7F424DA7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b/>
          <w:color w:val="000000"/>
          <w:u w:color="000000"/>
        </w:rPr>
        <w:t xml:space="preserve">dachu płaskim - </w:t>
      </w:r>
      <w:r>
        <w:rPr>
          <w:color w:val="000000"/>
          <w:u w:color="000000"/>
        </w:rPr>
        <w:t>należy przez to rozumieć dach o spadku nieprzekraczającym 10°;</w:t>
      </w:r>
    </w:p>
    <w:p w14:paraId="2DAA0198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b/>
          <w:color w:val="000000"/>
          <w:u w:color="000000"/>
        </w:rPr>
        <w:t>linii rozgraniczającej tereny o różnym przeznaczeniu lub różnych zasadach zagospodarowania</w:t>
      </w:r>
      <w:r>
        <w:rPr>
          <w:color w:val="000000"/>
          <w:u w:color="000000"/>
        </w:rPr>
        <w:t xml:space="preserve"> – należy przez to rozumieć oznaczoną na rysunku planu linię ciągłą, dzielącą obszar na części o różnym przeznaczeniu lub różnych zasadach zagospodarowania;</w:t>
      </w:r>
    </w:p>
    <w:p w14:paraId="6E0BFCDB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b/>
          <w:color w:val="000000"/>
          <w:u w:color="000000"/>
        </w:rPr>
        <w:t>nieprzekraczalnej linii zabudowy</w:t>
      </w:r>
      <w:r>
        <w:rPr>
          <w:color w:val="000000"/>
          <w:u w:color="000000"/>
        </w:rPr>
        <w:t xml:space="preserve"> – należy przez to rozumieć oznaczoną na rysunku planu linię graniczną sytuowania budynków wraz z jego elementami; dopuszcza się jej przekroczenie o:</w:t>
      </w:r>
    </w:p>
    <w:p w14:paraId="5CF05930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elementy wejścia do budynku, takie jak: obudowa wejść do budynków (wiatrołap, przedsionek) na odległość do 3,0 m, schody, pochylnia dla osób niepełnosprawnych, podest, zadaszenie,</w:t>
      </w:r>
    </w:p>
    <w:p w14:paraId="0B9A7B8E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elementy nadwieszonych części budynku na odległość do 2,0 m, takie jak: balkon, loggia, wykusz, gzyms, okap dachu oraz inne elementy architektoniczne na trwałe związane z konstrukcją i funkcją budynku,</w:t>
      </w:r>
    </w:p>
    <w:p w14:paraId="4082A664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zewnętrzne elementy komunikacji pionowej, na odległość 3,0 m, takie jak: zewnętrzne szyby windowe, zewnętrzne klatki schodowe,</w:t>
      </w:r>
    </w:p>
    <w:p w14:paraId="6F361FD2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podziemne części budynku i urządzenia budowlane związane z budynkiem,</w:t>
      </w:r>
    </w:p>
    <w:p w14:paraId="0A6F9ECC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e) </w:t>
      </w:r>
      <w:r>
        <w:rPr>
          <w:color w:val="000000"/>
          <w:u w:color="000000"/>
        </w:rPr>
        <w:t>elementy wejść i wjazdów do podziemnych części budynku oraz elementy zewnętrznych warstw izolacji termicznej budynku,</w:t>
      </w:r>
    </w:p>
    <w:p w14:paraId="772BB3F9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lastRenderedPageBreak/>
        <w:t>f) </w:t>
      </w:r>
      <w:r>
        <w:rPr>
          <w:color w:val="000000"/>
          <w:u w:color="000000"/>
        </w:rPr>
        <w:t>obiekty dopuszczone w ustaleniach szczegółowych terenów do sytuowania poza nieprzekraczalną linią zabudowy oraz obiekty infrastruktury technicznej, w tym stacje transformatorowe;</w:t>
      </w:r>
    </w:p>
    <w:p w14:paraId="62A45CAE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b/>
          <w:color w:val="000000"/>
          <w:u w:color="000000"/>
        </w:rPr>
        <w:t>obszarze planu</w:t>
      </w:r>
      <w:r>
        <w:rPr>
          <w:color w:val="000000"/>
          <w:u w:color="000000"/>
        </w:rPr>
        <w:t xml:space="preserve"> – należy przez to rozumieć obszar objęty planem w granicach przedstawionych na rysunku planu;</w:t>
      </w:r>
    </w:p>
    <w:p w14:paraId="5684578D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b/>
          <w:color w:val="000000"/>
          <w:u w:color="000000"/>
        </w:rPr>
        <w:t>przeznaczeniu</w:t>
      </w:r>
      <w:r>
        <w:rPr>
          <w:color w:val="000000"/>
          <w:u w:color="000000"/>
        </w:rPr>
        <w:t xml:space="preserve"> – należy przez to rozumieć sposób zagospodarowania, w tym funkcji zabudowy i wykorzystania terenu, określony w ustaleniach szczegółowych dla terenów, wskazując odpowiednio:</w:t>
      </w:r>
    </w:p>
    <w:p w14:paraId="2E1F9BFC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b/>
          <w:color w:val="000000"/>
          <w:u w:color="000000"/>
        </w:rPr>
        <w:t>przeznaczenie podstawowe</w:t>
      </w:r>
      <w:r>
        <w:rPr>
          <w:color w:val="000000"/>
          <w:u w:color="000000"/>
        </w:rPr>
        <w:t xml:space="preserve"> – należy przez to rozumieć ustalone w planie przeznaczenie przeważające na działce budowlanej lub terenie,</w:t>
      </w:r>
    </w:p>
    <w:p w14:paraId="0DAFCB45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b/>
          <w:color w:val="000000"/>
          <w:u w:color="000000"/>
        </w:rPr>
        <w:t>przeznaczenie uzupełniające</w:t>
      </w:r>
      <w:r>
        <w:rPr>
          <w:color w:val="000000"/>
          <w:u w:color="000000"/>
        </w:rPr>
        <w:t xml:space="preserve"> – należy przez to rozumieć rodzaj przeznaczenia inny niż podstawowe, który dopuszczony został na wyznaczonym terenie jako uzupełnienie lub wzbogacenie przeznaczenia podstawowego, na warunkach określonych w planie, przeznaczenie uzupełniające nie może stanowić jedynego sposobu zagospodarowania działki budowlanej;</w:t>
      </w:r>
    </w:p>
    <w:p w14:paraId="2C15DCCD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b/>
          <w:color w:val="000000"/>
          <w:u w:color="000000"/>
        </w:rPr>
        <w:t>terenie</w:t>
      </w:r>
      <w:r>
        <w:rPr>
          <w:color w:val="000000"/>
          <w:u w:color="000000"/>
        </w:rPr>
        <w:t xml:space="preserve"> - należy przez to rozumieć teren o określonym przeznaczeniu i zasadach zagospodarowania, wyznaczony na rysunku planu liniami rozgraniczającymi tereny o różnym przeznaczeniu lub różnych zasadach zagospodarowania oraz oznaczony symbolami cyfrowymi i literowymi, z których cyfry oznaczają kolejny numer terenu, a litery jego przeznaczenie.</w:t>
      </w:r>
    </w:p>
    <w:p w14:paraId="5DC469EE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4. </w:t>
      </w:r>
      <w:r>
        <w:rPr>
          <w:color w:val="000000"/>
          <w:u w:color="000000"/>
        </w:rPr>
        <w:t>Dla obszaru objętego planem ustala się:</w:t>
      </w:r>
    </w:p>
    <w:p w14:paraId="5320B7E9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przeznaczenie terenów oraz linie rozgraniczające tereny o różnym przeznaczeniu lub różnych zasadach zagospodarowania;</w:t>
      </w:r>
    </w:p>
    <w:p w14:paraId="293C476D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zasady ochrony i kształtowania ładu przestrzennego;</w:t>
      </w:r>
    </w:p>
    <w:p w14:paraId="088CFC04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zasady ochrony środowiska, przyrody i krajobrazu;</w:t>
      </w:r>
    </w:p>
    <w:p w14:paraId="23ACC9A5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zasady kształtowania krajobrazu;</w:t>
      </w:r>
    </w:p>
    <w:p w14:paraId="36C08E84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wymagania wynikające z potrzeb kształtowania przestrzeni publicznych;</w:t>
      </w:r>
    </w:p>
    <w:p w14:paraId="1428340C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zasady kształtowania zabudowy oraz wskaźniki zagospodarowania terenu:</w:t>
      </w:r>
    </w:p>
    <w:p w14:paraId="65617EE2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maksymalną i minimalną nadziemną intensywność zabudowy,</w:t>
      </w:r>
    </w:p>
    <w:p w14:paraId="684D8BBA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minimalny udział powierzchni biologicznie czynnej,</w:t>
      </w:r>
    </w:p>
    <w:p w14:paraId="01F6406E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maksymalny udział powierzchni zabudowy,</w:t>
      </w:r>
    </w:p>
    <w:p w14:paraId="5F1277FA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maksymalną wysokość zabudowy,</w:t>
      </w:r>
    </w:p>
    <w:p w14:paraId="62919E9E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e) </w:t>
      </w:r>
      <w:r>
        <w:rPr>
          <w:color w:val="000000"/>
          <w:u w:color="000000"/>
        </w:rPr>
        <w:t>minimalną liczbę i sposób realizacji miejsc do parkowania, w tym miejsc przeznaczonych do parkowania pojazdów zaopatrzonych w kartę parkingową,</w:t>
      </w:r>
    </w:p>
    <w:p w14:paraId="077EFA5B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f) </w:t>
      </w:r>
      <w:r>
        <w:rPr>
          <w:color w:val="000000"/>
          <w:u w:color="000000"/>
        </w:rPr>
        <w:t>linie zabudowy i gabaryty obiektów;</w:t>
      </w:r>
    </w:p>
    <w:p w14:paraId="2D571834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szczegółowe zasady i warunki scalenia i podziału nieruchomości objętych planem miejscowym;</w:t>
      </w:r>
    </w:p>
    <w:p w14:paraId="01483DA3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>szczególne warunki zagospodarowania terenów oraz ograniczenia w ich użytkowaniu, w tym zakaz zabudowy;</w:t>
      </w:r>
    </w:p>
    <w:p w14:paraId="4B715946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9) </w:t>
      </w:r>
      <w:r>
        <w:rPr>
          <w:color w:val="000000"/>
          <w:u w:color="000000"/>
        </w:rPr>
        <w:t>zasady modernizacji, rozbudowy i budowy systemu komunikacji i infrastruktury technicznej;</w:t>
      </w:r>
    </w:p>
    <w:p w14:paraId="567AC213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10) </w:t>
      </w:r>
      <w:r>
        <w:rPr>
          <w:color w:val="000000"/>
          <w:u w:color="000000"/>
        </w:rPr>
        <w:t>stawki procentowe, na podstawie których ustala się opłatę od wzrostu wartości nieruchomości w związku z uchwaleniem planu;</w:t>
      </w:r>
    </w:p>
    <w:p w14:paraId="3E742A92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11) </w:t>
      </w:r>
      <w:r>
        <w:rPr>
          <w:color w:val="000000"/>
          <w:u w:color="000000"/>
        </w:rPr>
        <w:t>granice terenów rozmieszczenia inwestycji celu publicznego o znaczeniu lokalnym.</w:t>
      </w:r>
    </w:p>
    <w:p w14:paraId="0991EA73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5. </w:t>
      </w:r>
      <w:r>
        <w:rPr>
          <w:color w:val="000000"/>
          <w:u w:color="000000"/>
        </w:rPr>
        <w:t>Ze względu na brak podstaw wynikających ze stanu faktycznego, w planie nie określa się:</w:t>
      </w:r>
    </w:p>
    <w:p w14:paraId="3DDBF53A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zasad ochrony dziedzictwa kulturowego i zabytków, w tym krajobrazów kulturowych, oraz dóbr kultury współczesnej;</w:t>
      </w:r>
    </w:p>
    <w:p w14:paraId="3A5B756E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granic i sposobów zagospodarowania terenów lub obiektów podlegających ochronie, na podstawie odrębnych przepisów, terenów górniczych, a także obszarów szczególnego zagrożenia powodzią, obszarów osuwania się mas ziemnych, krajobrazów priorytetowych określonych w audycie krajobrazowym oraz w planach zagospodarowania przestrzennego województwa;</w:t>
      </w:r>
    </w:p>
    <w:p w14:paraId="61B4E21D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lastRenderedPageBreak/>
        <w:t>3) </w:t>
      </w:r>
      <w:r>
        <w:rPr>
          <w:color w:val="000000"/>
          <w:u w:color="000000"/>
        </w:rPr>
        <w:t>sposobu i terminu tymczasowego zagospodarowania, urządzania i użytkowania terenów.</w:t>
      </w:r>
    </w:p>
    <w:p w14:paraId="7353549D" w14:textId="77777777" w:rsidR="00A77B3E" w:rsidRDefault="00000000">
      <w:pPr>
        <w:keepNext/>
        <w:jc w:val="center"/>
        <w:rPr>
          <w:color w:val="000000"/>
          <w:u w:color="000000"/>
        </w:rPr>
      </w:pPr>
      <w:r>
        <w:rPr>
          <w:b/>
          <w:caps/>
        </w:rPr>
        <w:t>Dział II.</w:t>
      </w:r>
      <w:r>
        <w:rPr>
          <w:color w:val="000000"/>
          <w:u w:color="000000"/>
        </w:rPr>
        <w:br/>
      </w:r>
      <w:r>
        <w:rPr>
          <w:b/>
          <w:color w:val="000000"/>
          <w:u w:color="000000"/>
        </w:rPr>
        <w:t>USTALENIA DLA CAŁEGO OBSZARU OBJĘTEGO PLANEM</w:t>
      </w:r>
    </w:p>
    <w:p w14:paraId="5EE20252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6. </w:t>
      </w:r>
      <w:r>
        <w:rPr>
          <w:color w:val="000000"/>
          <w:u w:color="000000"/>
        </w:rPr>
        <w:t>Zasady ochrony i kształtowania ładu przestrzennego:</w:t>
      </w:r>
    </w:p>
    <w:p w14:paraId="1F7FE439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w zakresie przeznaczenia terenów usług zakazuje się:</w:t>
      </w:r>
    </w:p>
    <w:p w14:paraId="08632FC8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lokalizacji usług w zakresie obsługi komunikacji, to jest: stacji paliw, LPG, myjni samochodowych, zakładów mechaniki pojazdowej, lakierni i wulkanizacji,</w:t>
      </w:r>
    </w:p>
    <w:p w14:paraId="602CD3A9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lokalizacji obiektów i instalacji związanych z gospodarką odpadami, w tym punktów zbierania i przetwarzania odpadów w szczególności stacji demontażu pojazdów i złomowisk,</w:t>
      </w:r>
    </w:p>
    <w:p w14:paraId="32C0E997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lokalizacji usług polegających na kremacji, w tym dla zwłok zwierzęcych i ich części,</w:t>
      </w:r>
    </w:p>
    <w:p w14:paraId="2DCE0E9D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lokalizacji usług polegających na składowaniu, magazynowaniu, przetwarzaniu, konfekcjonowaniu i obrocie handlowym kopalinami, kruszywami budowlanymi, ziemią, torfem, węglem opałowym we wszystkich postaciach, wszelkich odpadów w rozumieniu przepisów szczególnych,</w:t>
      </w:r>
    </w:p>
    <w:p w14:paraId="55135ED2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e) </w:t>
      </w:r>
      <w:r>
        <w:rPr>
          <w:color w:val="000000"/>
          <w:u w:color="000000"/>
        </w:rPr>
        <w:t>lokalizacji obiektów i usług polegających na składowaniu, magazynowaniu, przetwarzaniu i obrocie handlowym materiałami budowlanymi oraz butlami z gazem płynnym;</w:t>
      </w:r>
    </w:p>
    <w:p w14:paraId="63298A8F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w zakresie lokalizacji zabudowy:</w:t>
      </w:r>
    </w:p>
    <w:p w14:paraId="4BB57BD8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nakazuje się sytuowanie zabudowy zgodnie z liniami zabudowy wskazanymi na rysunku planu, obowiązującymi przepisami odrębnymi oraz ustaleniami planu,</w:t>
      </w:r>
    </w:p>
    <w:p w14:paraId="0C5CFCE4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przy rozbudowie, nadbudowie, odbudowie i zmianie sposobu użytkowania obiektów budowalnych obowiązują ustalenia szczegółowe dla poszczególnych terenów,</w:t>
      </w:r>
    </w:p>
    <w:p w14:paraId="665E6E20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na terenach przyległych do ul. Łódzkiej, znajdującej się poza granicami opracowania, dopuszcza się realizację wiat przystankowych,</w:t>
      </w:r>
    </w:p>
    <w:p w14:paraId="4FB39D69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dopuszcza się lokalizację tymczasowych obiektów budowlanych pod warunkiem ich zgodności z ustaleniami terenu, na którym są realizowane. Wymóg zgodności z ustaleniami planu dla danego terenu nie dotyczy obiektów związanych z prowadzeniem robót budowlanych;</w:t>
      </w:r>
    </w:p>
    <w:p w14:paraId="38AAB28A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w zakresie wskaźników i parametrów zabudowy:</w:t>
      </w:r>
    </w:p>
    <w:p w14:paraId="07903978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nakaz kształtowania zabudowy zgodnie z warunkami zabudowy, w tym ze wskaźnikami i parametrami określonymi w ustaleniach szczegółowych dla poszczególnych terenów,</w:t>
      </w:r>
    </w:p>
    <w:p w14:paraId="42F96232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budynków istniejących a niespełniających wymagań określonych w lit. a, w zakresie nadziemnej intensywności zabudowy, udziału powierzchni zabudowy, wysokości zabudowy lub rodzaju dachu – dopuszcza się remont i przebudowę z możliwością zachowania geometrii i rodzaju pokrycia dachu,</w:t>
      </w:r>
    </w:p>
    <w:p w14:paraId="7438FB71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7. </w:t>
      </w:r>
      <w:r>
        <w:rPr>
          <w:color w:val="000000"/>
          <w:u w:color="000000"/>
        </w:rPr>
        <w:t>Zasady ochrony środowiska, przyrody i krajobrazu oraz zasady kształtowania krajobrazu:</w:t>
      </w:r>
    </w:p>
    <w:p w14:paraId="491311BD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nakaz stosowania rozwiązań technicznych, technologicznych i organizacyjnych zapewniających zachowanie standardów jakości środowiska określonych w przepisach odrębnych dotyczących ochrony środowiska;</w:t>
      </w:r>
    </w:p>
    <w:p w14:paraId="7B9C6AE1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zakazuje się realizacji przedsięwzięć mogących zawsze znacząco oddziaływać na środowisko;</w:t>
      </w:r>
    </w:p>
    <w:p w14:paraId="3ABD372B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zakazuje się realizacji przedsięwzięć mogących potencjalnie znacząco oddziaływać na środowisko, z wyłączeniem inwestycji z zakresu infrastruktury technicznej, dróg, zabudowy mieszkaniowej wraz z towarzyszącej jej infrastrukturą oraz garaży, parkingów samochodowych lub zespołów parkingów;</w:t>
      </w:r>
    </w:p>
    <w:p w14:paraId="07FA4929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wody opadowe i roztopowe z utwardzonych nawierzchni dróg, parkingów i innych nawierzchni zanieczyszczonych, a także ścieki, przed odprowadzeniem do odbiornika, muszą spełniać wymagania określone w przepisach odrębnych;</w:t>
      </w:r>
    </w:p>
    <w:p w14:paraId="27D569E3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zakaz lokalizacji obiektów budowlanych i wykonywania prac mogących pogorszyć stosunki wodne na gruntach sąsiednich, za wyjątkiem lokalizacji studni dla zaopatrzenia w wodę na potrzeby obronności i w sytuacjach kryzysowych;</w:t>
      </w:r>
    </w:p>
    <w:p w14:paraId="414BE196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lastRenderedPageBreak/>
        <w:t>6) </w:t>
      </w:r>
      <w:r>
        <w:rPr>
          <w:color w:val="000000"/>
          <w:u w:color="000000"/>
        </w:rPr>
        <w:t>ustala się obowiązek zachowania poziomu hałasu w środowisku określony w obowiązujących przepisach o ochronie środowiska, któremu podlegają:</w:t>
      </w:r>
    </w:p>
    <w:p w14:paraId="171A1335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tereny MW, MW-U – jak dla terenów zabudowy mieszkaniowej wielorodzinnej,</w:t>
      </w:r>
    </w:p>
    <w:p w14:paraId="5E5F9851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tereny ZP – jak dla terenów przeznaczonych na cele rekreacyjno-wypoczynkowe,</w:t>
      </w:r>
    </w:p>
    <w:p w14:paraId="146340E2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pozostałe tereny nie są normowane akustycznie;</w:t>
      </w:r>
    </w:p>
    <w:p w14:paraId="3EBCCF54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w zakresie ochrony przed polami elektromagnetycznymi:</w:t>
      </w:r>
    </w:p>
    <w:p w14:paraId="6C6AB051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zakaz lokalizacji obiektów, urządzeń i sieci infrastrukturalnych, które powodują przekroczenie dopuszczalnych poziomów pól elektromagnetycznych w środowisku określonych w przepisach odrębnych dotyczących ochrony środowiska,</w:t>
      </w:r>
    </w:p>
    <w:p w14:paraId="53FAF55B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dopuszcza się lokalizację obiektów infrastruktury telekomunikacyjnej wyłącznie o nieznacznym oddziaływaniu w rozumieniu przepisów odrębnych dotyczących rozwoju usług i sieci telekomunikacyjnych.</w:t>
      </w:r>
    </w:p>
    <w:p w14:paraId="5DA38D7B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8. </w:t>
      </w:r>
      <w:r>
        <w:rPr>
          <w:color w:val="000000"/>
          <w:u w:color="000000"/>
        </w:rPr>
        <w:t>Ustala się następujące wymagania wynikające z potrzeb kształtowania przestrzeni publicznych:</w:t>
      </w:r>
    </w:p>
    <w:p w14:paraId="66779753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do przestrzeni publicznych zalicza się:</w:t>
      </w:r>
    </w:p>
    <w:p w14:paraId="14F53DB8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teren drogi dojazdowej, oznaczony na rysunku planu symbolem 1KDD,</w:t>
      </w:r>
    </w:p>
    <w:p w14:paraId="1F4D8B45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teren komunikacji drogowej wewnętrznej, oznaczony na rysunku planu symbolem 1KR,</w:t>
      </w:r>
    </w:p>
    <w:p w14:paraId="7CE49E38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tereny komunikacji pieszej, oznaczone na rysunku planu symbolami: 1KPP, 2KPP, 3KPP,</w:t>
      </w:r>
    </w:p>
    <w:p w14:paraId="6996C779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tereny zieleni urządzonej, oznaczone na rysunku planu symbolami: 1ZP, 2ZP, 5ZP, 6ZP;</w:t>
      </w:r>
    </w:p>
    <w:p w14:paraId="586F53FB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dla przestrzeni publicznych ustala się stosowanie jednorodnych nawierzchni dla chodników w ramach terenów, przy czym zakazuje się stosowania asfaltów jako nawierzchni dla chodników;</w:t>
      </w:r>
    </w:p>
    <w:p w14:paraId="41F5BB05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dla przestrzeni publicznych ustala się stosowanie jednorodnych nawierzchni dla ścieżek rowerowych w ramach terenu;</w:t>
      </w:r>
    </w:p>
    <w:p w14:paraId="0B148BCE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dla terenów 1KPP, 2KPP, 3KPP ustala się stosowanie jednorodnych nawierzchni dróg dla pieszych;</w:t>
      </w:r>
    </w:p>
    <w:p w14:paraId="2E442146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nakaz dostosowania przestrzeni publicznych do potrzeb osób niepełnosprawnych w zakresie wynikającym z przepisów odrębnych z zakresu budownictwa, w szczególności poprzez ukształtowanie nawierzchni i stosowanie rozwiązań materiałowych umożliwiających przemieszczanie się osobom z ograniczeniami ruchowymi w obrębie wszystkich ciągów komunikacji pieszej oraz korzystanie z obiektów i urządzeń stanowiących użytkowe wyposażenie przestrzeni;</w:t>
      </w:r>
    </w:p>
    <w:p w14:paraId="06BD4031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w planie nie wyznacza się obszarów przestrzeni publicznych.</w:t>
      </w:r>
    </w:p>
    <w:p w14:paraId="25544F66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9. </w:t>
      </w:r>
      <w:r>
        <w:rPr>
          <w:color w:val="000000"/>
          <w:u w:color="000000"/>
        </w:rPr>
        <w:t>Szczegółowe zasady i warunki scalania i podziałów nieruchomości objętych planem miejscowym:</w:t>
      </w:r>
    </w:p>
    <w:p w14:paraId="2E76CD5A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w planie nie wyznacza się granic obszarów określonych w przepisach odrębnych, wymagających obowiązkowego przeprowadzenia scaleń i podziałów nieruchomości;</w:t>
      </w:r>
    </w:p>
    <w:p w14:paraId="1EB0D29C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szczegółowe zasady i warunki scalania i podziałów nieruchomości określono w Dziale III niniejszej uchwały.</w:t>
      </w:r>
    </w:p>
    <w:p w14:paraId="008C6725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10. </w:t>
      </w:r>
      <w:r>
        <w:rPr>
          <w:color w:val="000000"/>
          <w:u w:color="000000"/>
        </w:rPr>
        <w:t>Szczególne warunki zagospodarowania terenów oraz ograniczenia w ich użytkowaniu, w tym zakaz zabudowy:</w:t>
      </w:r>
    </w:p>
    <w:p w14:paraId="255D99F6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ze względu na prawidłowość funkcjonowania lotniska Piotrków Trybunalski, na obszarze objętym miejscowym planem zagospodarowania przestrzennego obowiązują ograniczenia wysokości obiektów budowlanych i naturalnych, zgodnie z przepisami odrębnymi – ograniczenia wysokości obejmują również wszystkie urządzenia umieszczone na obiektach budowlanych;</w:t>
      </w:r>
    </w:p>
    <w:p w14:paraId="12E82998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w zasięgu strefy oddziaływania od lotniska Piotrków Trybunalski zakazuje się budowy lub rozbudowy obiektów budowlanych sprzyjających występowaniu zwierząt stwarzających zagrożenie dla ruchu statków powietrznych;</w:t>
      </w:r>
    </w:p>
    <w:p w14:paraId="6F90662C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strefę oddziaływania od sieci wodociągowej:</w:t>
      </w:r>
    </w:p>
    <w:p w14:paraId="11ACA627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szerokość strefy: do 2,0 m na każdą stronę od krawędzi rurociągu, zgodnie z rysunkiem planu,</w:t>
      </w:r>
    </w:p>
    <w:p w14:paraId="276EE14A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lastRenderedPageBreak/>
        <w:t>b) </w:t>
      </w:r>
      <w:r>
        <w:rPr>
          <w:color w:val="000000"/>
          <w:u w:color="000000"/>
        </w:rPr>
        <w:t>w strefie oddziaływania obowiązuje zakaz lokalizacji budynków i obiektów budowlanych wymagających fundamentowania;</w:t>
      </w:r>
    </w:p>
    <w:p w14:paraId="63C5936C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ustala się strefę oddziaływania od sieci kanalizacji sanitarnej:</w:t>
      </w:r>
    </w:p>
    <w:p w14:paraId="2DB57146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szerokość strefy: do 4,0 m na każdą stronę od krawędzi rurociągu, zgodnie z rysunkiem planu,</w:t>
      </w:r>
    </w:p>
    <w:p w14:paraId="24C75882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w strefie oddziaływania obowiązuje zakaz lokalizacji budynków i obiektów budowlanych wymagających fundamentowania;</w:t>
      </w:r>
    </w:p>
    <w:p w14:paraId="0E9B310C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ustala się strefę oddziaływania od sieci kanalizacji deszczowej:</w:t>
      </w:r>
    </w:p>
    <w:p w14:paraId="72B54736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szerokość strefy: do 4,0 m na każdą stronę od krawędzi rurociągu, zgodnie z rysunkiem planu,</w:t>
      </w:r>
    </w:p>
    <w:p w14:paraId="2F79E91D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w strefie oddziaływania obowiązuje zakaz lokalizacji budynków i obiektów budowlanych wymagających fundamentowania;</w:t>
      </w:r>
    </w:p>
    <w:p w14:paraId="72F0D92B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ustala się strefę oddziaływania od sieci ciepłowniczej:</w:t>
      </w:r>
    </w:p>
    <w:p w14:paraId="1CC84C72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szerokość strefy dla sieci kanałowej: do 1,5 m na każdą stronę od brzegu kanału ciepłowniczego, zgodnie z rysunkiem planu,</w:t>
      </w:r>
    </w:p>
    <w:p w14:paraId="4B2974C6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szerokość strefy dla sieci preizolowanej: do 1,5 m na każdą stronę licząc od zewnętrznego obrysu sieci, zgodnie z rysunkiem planu,</w:t>
      </w:r>
    </w:p>
    <w:p w14:paraId="1071B516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w strefie oddziaływania obowiązuje zakaz lokalizacji budynków i obiektów budowlanych wymagających fundamentowania,</w:t>
      </w:r>
    </w:p>
    <w:p w14:paraId="753CC8B5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w strefie oddziaływania obowiązuje zakaz sadzenia drzew i krzewów;</w:t>
      </w:r>
    </w:p>
    <w:p w14:paraId="37ECBF0A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dla istniejącej sieci gazowej obowiązuje strefa kontrolowana o maksymalnej szerokości 10,0 m tj. po 5,0 m na każdą stronę licząc od osi gazociągu. Szczegółowe warunki zagospodarowania i ograniczenia w strefie określają przepisy odrębne;</w:t>
      </w:r>
    </w:p>
    <w:p w14:paraId="1069C312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>w przypadku likwidacji przebiegu sieci uzbrojenia terenu, o których mowa w pkt 3-7, zakazy dotyczące stref oddziaływania i strefy kontrolowanej nie obowiązują;</w:t>
      </w:r>
    </w:p>
    <w:p w14:paraId="446D3440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9) </w:t>
      </w:r>
      <w:r>
        <w:rPr>
          <w:color w:val="000000"/>
          <w:u w:color="000000"/>
        </w:rPr>
        <w:t>w przypadku przebudowy istniejących sieci lub lokalizacji nowych sieci i urządzeń infrastruktury technicznej obowiązują ograniczenia w użytkowaniu w strefach wyznaczonych zgodnie z przepisami odrębnymi.</w:t>
      </w:r>
    </w:p>
    <w:p w14:paraId="2C7A4342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11. </w:t>
      </w:r>
      <w:r>
        <w:rPr>
          <w:color w:val="000000"/>
          <w:u w:color="000000"/>
        </w:rPr>
        <w:t>Zasady modernizacji, rozbudowy i budowy systemów komunikacji i infrastruktury technicznej:</w:t>
      </w:r>
    </w:p>
    <w:p w14:paraId="697303CE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obsługę komunikacyjną oraz połączenie układu komunikacyjnego obszaru objętego planem z zewnętrznym układem komunikacyjnym stanowią:</w:t>
      </w:r>
    </w:p>
    <w:p w14:paraId="7C65E4F4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teren drogi dojazdowej - 1KDD,</w:t>
      </w:r>
    </w:p>
    <w:p w14:paraId="6C0D4CCA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teren komunikacji drogowej wewnętrznej – 1KR, 2KR, 3KR, 4KR,</w:t>
      </w:r>
    </w:p>
    <w:p w14:paraId="5547CDCE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drogi położone poza granicami obszaru objętego opracowaniem,</w:t>
      </w:r>
    </w:p>
    <w:p w14:paraId="3EAF2B62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drogi wewnętrzne niewyznaczone na rysunku planu;</w:t>
      </w:r>
    </w:p>
    <w:p w14:paraId="61201662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ustala się zachowanie istniejącego systemu dróg publicznych z możliwością przebudowy, rozbudowy i budowy we wskazanych na rysunku planu liniach rozgraniczających tych dróg;</w:t>
      </w:r>
    </w:p>
    <w:p w14:paraId="270787E4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na potrzeby obsługi komunikacyjnej dopuszcza się realizację dróg wewnętrznych niewyznaczonych na rysunku planu;</w:t>
      </w:r>
    </w:p>
    <w:p w14:paraId="66F50AF2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wymagania dotyczące sposobu zagospodarowania dróg publicznych określono w Dziale III;</w:t>
      </w:r>
    </w:p>
    <w:p w14:paraId="61B1CCF0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powiązanie istniejących i projektowanych sieci infrastruktury technicznej obszaru planu z układem sieci miejskich realizowane poprzez ich rozbudowę i przebudowę;</w:t>
      </w:r>
    </w:p>
    <w:p w14:paraId="7D100A05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dopuszcza się podział działek dla obiektów budowlanych związanych z infrastrukturą techniczną, dla wydzielenia tych działek nie obowiązują wielkości działek wskazane w Dziale III;</w:t>
      </w:r>
    </w:p>
    <w:p w14:paraId="6B5D652A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dopuszcza się przebudowę i budowę sieci, urządzeń i obiektów infrastruktury technicznej na całym obszarze objętym planem z zachowaniem przepisów niniejszej uchwały;</w:t>
      </w:r>
    </w:p>
    <w:p w14:paraId="78FEE621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lastRenderedPageBreak/>
        <w:t>8) </w:t>
      </w:r>
      <w:r>
        <w:rPr>
          <w:color w:val="000000"/>
          <w:u w:color="000000"/>
        </w:rPr>
        <w:t>dopuszcza się lokalizację urządzeń wytwarzających energię z odnawialnych źródeł energii wyłącznie obejmujących energię promieniowania słonecznego, energię aerotermalną oraz energię geotermalną;</w:t>
      </w:r>
    </w:p>
    <w:p w14:paraId="65CF7327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9) </w:t>
      </w:r>
      <w:r>
        <w:rPr>
          <w:color w:val="000000"/>
          <w:u w:color="000000"/>
        </w:rPr>
        <w:t>na całym obszarze objętym planem zakazuje się lokalizacji urządzeń wytwarzających energię z odnawialnych źródeł energii o mocy przekraczającej moc mikroinstalacji, z uwzględnieniem pkt 10);</w:t>
      </w:r>
    </w:p>
    <w:p w14:paraId="6281800C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10) </w:t>
      </w:r>
      <w:r>
        <w:rPr>
          <w:color w:val="000000"/>
          <w:u w:color="000000"/>
        </w:rPr>
        <w:t>w terenach MW, MW-U dopuszcza się lokalizacje urządzeń wytwarzających energię z odnawialnych źródeł energii o mocy małych instalacji, w rozumieniu przepisów odrębnych dotyczących odnawialnych źródeł energii, wyłącznie jako urządzeń innych niż wolnostojące.</w:t>
      </w:r>
    </w:p>
    <w:p w14:paraId="1D1A473F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12. </w:t>
      </w:r>
      <w:r>
        <w:rPr>
          <w:color w:val="000000"/>
          <w:u w:color="000000"/>
        </w:rPr>
        <w:t>Minimalna liczba i sposób realizacji miejsc do parkowania:</w:t>
      </w:r>
    </w:p>
    <w:p w14:paraId="142BEB2B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obowiązuje zapewnienie odpowiedniej ilości miejsc do parkowania dla samochodów realizowanych w ramach działki budowlanej, w sposób niepowodujący ograniczeń w zaspokajaniu potrzeb parkingowych istniejącej zabudowy, zgodnie z poniższymi wymaganiami:</w:t>
      </w:r>
    </w:p>
    <w:p w14:paraId="73E99BB2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dla zabudowy mieszkaniowej wielorodzinnej – nie mniej niż 1,5 miejsca parkingowego na każdy lokal mieszkalny, realizowanych na działce budowlanej,</w:t>
      </w:r>
    </w:p>
    <w:p w14:paraId="6406FC04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usług z wyłączeniem handlu– nie mniej niż 1 miejsce parkingowe na każde rozpoczęte 40 m</w:t>
      </w:r>
      <w:r>
        <w:rPr>
          <w:color w:val="000000"/>
          <w:u w:color="000000"/>
          <w:vertAlign w:val="superscript"/>
        </w:rPr>
        <w:t xml:space="preserve">2 </w:t>
      </w:r>
      <w:r>
        <w:rPr>
          <w:color w:val="000000"/>
          <w:u w:color="000000"/>
        </w:rPr>
        <w:t>powierzchni użytkowej tej funkcji, lecz nie mniej niż jedno, realizowanych na działce budowlanej,</w:t>
      </w:r>
    </w:p>
    <w:p w14:paraId="7AFF0522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dla handlu – nie mniej niż 1 miejsce parkingowe na każde rozpoczęte 70 m</w:t>
      </w:r>
      <w:r>
        <w:rPr>
          <w:color w:val="000000"/>
          <w:u w:color="000000"/>
          <w:vertAlign w:val="superscript"/>
        </w:rPr>
        <w:t xml:space="preserve">2 </w:t>
      </w:r>
      <w:r>
        <w:rPr>
          <w:color w:val="000000"/>
          <w:u w:color="000000"/>
        </w:rPr>
        <w:t>powierzchni sprzedaży, lecz nie mniej niż jedno, realizowanych na działce budowlanej;</w:t>
      </w:r>
    </w:p>
    <w:p w14:paraId="2474E7D5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w przypadku lokalizacji na działce zabudowy o różnych funkcjach, ustala się wyznaczenie miejsc parkingowych odpowiednio do każdej z nich;</w:t>
      </w:r>
    </w:p>
    <w:p w14:paraId="33EEA13C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wymaganą liczbę miejsc do parkowania należy określić proporcjonalnie względem przyjętej jednostki przeliczeniowej i zaokrąglić w górę do kolejnej liczby całkowitej;</w:t>
      </w:r>
    </w:p>
    <w:p w14:paraId="64AC3FE1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ustala się nakaz zapewnienia miejsc parkingowych dla rowerów w ilości nie mniej niż 2 miejsca parkingowe dla rowerów na każde pełne 10 miejsc parkingowych dla samochodów;</w:t>
      </w:r>
    </w:p>
    <w:p w14:paraId="3F1B86B6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na parkingach dla samochodów osobowych liczących więcej niż 15 miejsc do parkowania, minimum 4% ogólnej liczby miejsc, lecz nie mniej niż 1 miejsce, należy przeznaczyć na parkowanie pojazdów zaopatrzonych w kartę parkingową, przy uwzględnieniu przepisów odrębnych z zakresu dróg publicznych.</w:t>
      </w:r>
    </w:p>
    <w:p w14:paraId="1E0BC425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13. </w:t>
      </w:r>
      <w:r>
        <w:rPr>
          <w:color w:val="000000"/>
          <w:u w:color="000000"/>
        </w:rPr>
        <w:t>Ustala się następujące zasady zagospodarowania i wyposażenia terenów w zakresie obronności i w sytuacjach kryzysowych:</w:t>
      </w:r>
    </w:p>
    <w:p w14:paraId="4470729E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zaopatrzenie w wodę, gaz, energię elektryczną i cieplną, winno następować równolegle z powstającą zabudową;</w:t>
      </w:r>
    </w:p>
    <w:p w14:paraId="28E9F390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obowiązek zapewnienia wykorzystania dróg publicznych do celów p. poż. dla sprzętu ratowniczego i w sytuacjach kryzysowych;</w:t>
      </w:r>
    </w:p>
    <w:p w14:paraId="32319ED3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ochrona przeciwpożarowa obiektów budowlanych poprzez hydranty, montowane na sieci wodociągowej zgodnie z przepisami odrębnymi.</w:t>
      </w:r>
    </w:p>
    <w:p w14:paraId="34A6D161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14. </w:t>
      </w:r>
      <w:r>
        <w:rPr>
          <w:color w:val="000000"/>
          <w:u w:color="000000"/>
        </w:rPr>
        <w:t>Ustala się następującą wysokość jednorazowej opłaty określoną w stosunku procentowym do wzrostu wartości nieruchomości, która wynosi:</w:t>
      </w:r>
    </w:p>
    <w:p w14:paraId="7EBB5013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30% dla terenów MW, MW-U, U;</w:t>
      </w:r>
    </w:p>
    <w:p w14:paraId="72FBE0EF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dla terenów komunikacji KDD, KR, KPP, KOP, terenu elektroenergetyki IE oraz terenów zieleni urządzonej ZP nie stwierdza się wzrostu wartości nieruchomości.</w:t>
      </w:r>
    </w:p>
    <w:p w14:paraId="43F130BA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15. </w:t>
      </w:r>
      <w:r>
        <w:rPr>
          <w:color w:val="000000"/>
          <w:u w:color="000000"/>
        </w:rPr>
        <w:t>Granice terenu inwestycji celu publicznego o znaczeniu lokalnym wyznaczają linie rozgraniczające terenu drogi dojazdowej, oznaczonej na rysunku planu symbolem 1KDD.</w:t>
      </w:r>
    </w:p>
    <w:p w14:paraId="16E72BCF" w14:textId="77777777" w:rsidR="00A77B3E" w:rsidRDefault="00000000">
      <w:pPr>
        <w:keepNext/>
        <w:keepLines/>
        <w:jc w:val="center"/>
        <w:rPr>
          <w:color w:val="000000"/>
          <w:u w:color="000000"/>
        </w:rPr>
      </w:pPr>
      <w:r>
        <w:rPr>
          <w:b/>
          <w:caps/>
        </w:rPr>
        <w:t>Dział III.</w:t>
      </w:r>
      <w:r>
        <w:rPr>
          <w:color w:val="000000"/>
          <w:u w:color="000000"/>
        </w:rPr>
        <w:br/>
      </w:r>
      <w:r>
        <w:rPr>
          <w:b/>
          <w:color w:val="000000"/>
          <w:u w:color="000000"/>
        </w:rPr>
        <w:t>USTALENIA SZCZEGÓŁOWE DLA POSZCZEGÓLNYCH TERENÓW</w:t>
      </w:r>
    </w:p>
    <w:p w14:paraId="3D886EAE" w14:textId="77777777" w:rsidR="00A77B3E" w:rsidRDefault="00000000">
      <w:pPr>
        <w:keepNext/>
        <w:keepLines/>
        <w:jc w:val="center"/>
        <w:rPr>
          <w:color w:val="000000"/>
          <w:u w:color="000000"/>
        </w:rPr>
      </w:pPr>
      <w:r>
        <w:rPr>
          <w:b/>
        </w:rPr>
        <w:t>Rozdział 1.</w:t>
      </w:r>
      <w:r>
        <w:rPr>
          <w:color w:val="000000"/>
          <w:u w:color="000000"/>
        </w:rPr>
        <w:br/>
      </w:r>
      <w:r>
        <w:rPr>
          <w:b/>
          <w:color w:val="000000"/>
          <w:u w:color="000000"/>
        </w:rPr>
        <w:t>Ustalenia dotyczące terenów zabudowy</w:t>
      </w:r>
    </w:p>
    <w:p w14:paraId="360AD1D1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16. </w:t>
      </w:r>
      <w:r>
        <w:t>1. </w:t>
      </w:r>
      <w:r>
        <w:rPr>
          <w:color w:val="000000"/>
          <w:u w:color="000000"/>
        </w:rPr>
        <w:t xml:space="preserve">Wyznacza się tereny oznaczone na rysunku planu symbolami </w:t>
      </w:r>
      <w:r>
        <w:rPr>
          <w:b/>
          <w:color w:val="000000"/>
          <w:u w:color="000000"/>
        </w:rPr>
        <w:t xml:space="preserve">1MW, 2MW, 3MW, 4MW, 5MW, 6MW </w:t>
      </w:r>
      <w:r>
        <w:rPr>
          <w:color w:val="000000"/>
          <w:u w:color="000000"/>
        </w:rPr>
        <w:t xml:space="preserve">– teren zabudowy mieszkaniowej wielorodzinnej: </w:t>
      </w:r>
    </w:p>
    <w:p w14:paraId="58201923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lastRenderedPageBreak/>
        <w:t>1) </w:t>
      </w:r>
      <w:r>
        <w:rPr>
          <w:color w:val="000000"/>
          <w:u w:color="000000"/>
        </w:rPr>
        <w:t>przeznaczenie podstawowe – zabudowa mieszkaniowa wielorodzinna;</w:t>
      </w:r>
    </w:p>
    <w:p w14:paraId="6271483A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przeznaczenie uzupełniające – miejsca postojowe, parkingi, garaże, drogi wewnętrzne, ciągi piesze i rowerowe, zieleń urządzona, sieci, obiekty i urządzenia infrastruktury technicznej, obiekty małej architektury, budowle związane z funkcją podstawową.</w:t>
      </w:r>
    </w:p>
    <w:p w14:paraId="2EECC438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Zasady ochrony i kształtowania ładu przestrzennego:</w:t>
      </w:r>
    </w:p>
    <w:p w14:paraId="4C306871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dopuszcza się sytuowanie budynków w odległości 1,5 m od granicy lub bezpośrednio przy granicy z sąsiednią działką budowlaną w terenach 1MW, 2MW, 3MW, 4MW;</w:t>
      </w:r>
    </w:p>
    <w:p w14:paraId="7823978E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zakazuje się sytuowanie budynków w odległości 1,5 m od granicy lub bezpośrednio przy granicy z sąsiednią działką budowlaną w terenach 5MW, 6MW;</w:t>
      </w:r>
    </w:p>
    <w:p w14:paraId="087A20FE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dopuszcza się lokalizację budynków portierni, obiektów dla potrzeb służby ochrony terenu, o powierzchni zabudowy maks. 20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 xml:space="preserve"> i wysokości maks. 5,0 m, poza wyznaczonymi liniami zabudowy.</w:t>
      </w:r>
    </w:p>
    <w:p w14:paraId="5050743C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Zasady kształtowania zabudowy oraz wskaźniki zagospodarowania terenu:</w:t>
      </w:r>
    </w:p>
    <w:p w14:paraId="3987F1F9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ustala się nadziemną intensywność zabudowy:</w:t>
      </w:r>
    </w:p>
    <w:p w14:paraId="2F5A9E92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w terenach 1MW, 3MW, 4MW – od 0,1 do 1,2,</w:t>
      </w:r>
    </w:p>
    <w:p w14:paraId="42821AF5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w terenach 2MW, 5MW, 6MW – od 0,1 do 3,2;</w:t>
      </w:r>
    </w:p>
    <w:p w14:paraId="145113A1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ustala się maksymalny udział powierzchni zabudowy:</w:t>
      </w:r>
    </w:p>
    <w:p w14:paraId="056ACD2D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w terenie 1MW – 0,3,</w:t>
      </w:r>
    </w:p>
    <w:p w14:paraId="6D4DE7F9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w terenie 2MW – 0,4,</w:t>
      </w:r>
    </w:p>
    <w:p w14:paraId="60C9373D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w terenach 3MW, 4MW – 0,25,</w:t>
      </w:r>
    </w:p>
    <w:p w14:paraId="2258FBB3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w terenach 5MW, 6MW:</w:t>
      </w:r>
    </w:p>
    <w:p w14:paraId="4ABCC204" w14:textId="77777777" w:rsidR="00A77B3E" w:rsidRDefault="00000000">
      <w:pPr>
        <w:keepLines/>
        <w:spacing w:before="120" w:after="120"/>
        <w:ind w:left="794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dla budynków od 4 do 9 kondygnacji – 0,35,</w:t>
      </w:r>
    </w:p>
    <w:p w14:paraId="466BF1F0" w14:textId="77777777" w:rsidR="00A77B3E" w:rsidRDefault="00000000">
      <w:pPr>
        <w:keepLines/>
        <w:spacing w:before="120" w:after="120"/>
        <w:ind w:left="794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dla budynków powyżej 9 kondygnacji – 0,25;</w:t>
      </w:r>
    </w:p>
    <w:p w14:paraId="362D5FE7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minimalny udział powierzchni biologicznie czynnej:</w:t>
      </w:r>
    </w:p>
    <w:p w14:paraId="05C4E0FC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w terenach 1MW, 5MW, 6MW – 30%,</w:t>
      </w:r>
    </w:p>
    <w:p w14:paraId="6CF7E2A2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w terenach 2MW, 3MW, 4MW – 40%;</w:t>
      </w:r>
    </w:p>
    <w:p w14:paraId="7CBE5ECD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dopuszcza się realizację kondygnacji podziemnych;</w:t>
      </w:r>
    </w:p>
    <w:p w14:paraId="2E47EBB7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rodzaj dachu – dach płaski;</w:t>
      </w:r>
    </w:p>
    <w:p w14:paraId="182A8E18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wysokość zabudowy – z zastrzeżeniem ustaleń § 10 pkt 1:</w:t>
      </w:r>
    </w:p>
    <w:p w14:paraId="3399F48E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maksymalna wysokość budynków mieszkalnych:</w:t>
      </w:r>
    </w:p>
    <w:p w14:paraId="3447AA27" w14:textId="77777777" w:rsidR="00A77B3E" w:rsidRDefault="00000000">
      <w:pPr>
        <w:keepLines/>
        <w:spacing w:before="120" w:after="120"/>
        <w:ind w:left="794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w terenach 1MW, 3MW, 4MW – 16,0 m,</w:t>
      </w:r>
    </w:p>
    <w:p w14:paraId="3C576758" w14:textId="77777777" w:rsidR="00A77B3E" w:rsidRDefault="00000000">
      <w:pPr>
        <w:keepLines/>
        <w:spacing w:before="120" w:after="120"/>
        <w:ind w:left="794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w terenach 2MW, 5MW, 6MW – 37,0 m,</w:t>
      </w:r>
    </w:p>
    <w:p w14:paraId="00247842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minimalna liczba nadziemnych kondygnacji mieszkalnych – 4,</w:t>
      </w:r>
    </w:p>
    <w:p w14:paraId="122634ED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maksymalna wysokość budynków garażowych – 5,0 m,</w:t>
      </w:r>
    </w:p>
    <w:p w14:paraId="5EC91D5F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maksymalna wysokość budowli wolnostojących – 8,0 m,</w:t>
      </w:r>
    </w:p>
    <w:p w14:paraId="6478B356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e) </w:t>
      </w:r>
      <w:r>
        <w:rPr>
          <w:color w:val="000000"/>
          <w:u w:color="000000"/>
        </w:rPr>
        <w:t>maksymalna wysokość budowli i urządzeń sytuowanych na dachach budynków – 5,0 m,</w:t>
      </w:r>
    </w:p>
    <w:p w14:paraId="0584D6E4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nie ustala się rodzaju pokrycia dachu;</w:t>
      </w:r>
    </w:p>
    <w:p w14:paraId="5434AAD7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>realizacja elewacji z zastosowaniem nie więcej niż 3 rodzajów materiałów wykończeniowych (nie dotyczy obróbek blacharskich oraz stolarki).</w:t>
      </w:r>
    </w:p>
    <w:p w14:paraId="038AD4EC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Szczegółowe zasady i warunki scalania i podziału nieruchomości:</w:t>
      </w:r>
    </w:p>
    <w:p w14:paraId="00171AE9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nie ustala się obowiązku scalania i ponownego podziału nieruchomości;</w:t>
      </w:r>
    </w:p>
    <w:p w14:paraId="11700077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ustala się parametry działek powstałych w wyniku scalania i podziału nieruchomości:</w:t>
      </w:r>
    </w:p>
    <w:p w14:paraId="10CE81F8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lastRenderedPageBreak/>
        <w:t>a) </w:t>
      </w:r>
      <w:r>
        <w:rPr>
          <w:color w:val="000000"/>
          <w:u w:color="000000"/>
        </w:rPr>
        <w:t>minimalna powierzchnia: 2500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>,</w:t>
      </w:r>
    </w:p>
    <w:p w14:paraId="5D5CB2B8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minimalna szerokość frontu: 30,0 m,</w:t>
      </w:r>
    </w:p>
    <w:p w14:paraId="48412A42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dowolny kąt położenia granic działek w stosunku do pasa drogowego.</w:t>
      </w:r>
    </w:p>
    <w:p w14:paraId="06FEFF72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color w:val="000000"/>
          <w:u w:color="000000"/>
        </w:rPr>
        <w:t>Zasady obsługi komunikacyjnej:</w:t>
      </w:r>
    </w:p>
    <w:p w14:paraId="7F9A673E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dla terenu oznaczonego na rysunku planu symbolem 1MW ustala się obsługę komunikacyjną:</w:t>
      </w:r>
    </w:p>
    <w:p w14:paraId="6177A384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 drogi wewnętrznej oznaczonej na rysunku planu symbolem 1KR,</w:t>
      </w:r>
    </w:p>
    <w:p w14:paraId="45C8F1AB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z drogi wewnętrznej oznaczonej na rysunku planu symbolem 1KR poprzez teren 1U;</w:t>
      </w:r>
    </w:p>
    <w:p w14:paraId="48EC0A7B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dla terenu oznaczonego na rysunku planu symbolem 2MW ustala się obsługę komunikacyjną z drogi wewnętrznej oznaczonej na rysunku planu symbolem 1KR;</w:t>
      </w:r>
    </w:p>
    <w:p w14:paraId="225AF6F6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dla terenu oznaczonego na rysunku planu symbolem 3MW ustala się obsługę komunikacyjną:</w:t>
      </w:r>
    </w:p>
    <w:p w14:paraId="16C112E3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 drogi publicznej – drogi dojazdowej oznaczonej na rysunku planu symbolem 1KDD,</w:t>
      </w:r>
    </w:p>
    <w:p w14:paraId="07FE47F0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z drogi wewnętrznej oznaczonej na rysunku planu symbolem 1KR,</w:t>
      </w:r>
    </w:p>
    <w:p w14:paraId="411A81E0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z drogi wewnętrznej oznaczonej na rysunku planu symbolem 4KR;</w:t>
      </w:r>
    </w:p>
    <w:p w14:paraId="30F5575A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dla terenu oznaczonego na rysunku planu symbolem 4MW ustala się obsługę komunikacyjną:</w:t>
      </w:r>
    </w:p>
    <w:p w14:paraId="4F24DD87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 drogi publicznej – drogi dojazdowej oznaczonej na rysunku planu symbolem 1KDD,</w:t>
      </w:r>
    </w:p>
    <w:p w14:paraId="545368F8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z drogi wewnętrznej oznaczonej na rysunku planu symbolem 4KR;</w:t>
      </w:r>
    </w:p>
    <w:p w14:paraId="1EEEE5A3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dla terenu oznaczonego na rysunku planu symbolem 5MW ustala się obsługę komunikacyjną:</w:t>
      </w:r>
    </w:p>
    <w:p w14:paraId="4DEC5523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 drogi publicznej – drogi dojazdowej oznaczonej na rysunku planu symbolem 1KDD,</w:t>
      </w:r>
    </w:p>
    <w:p w14:paraId="7E8AFF05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z drogi wewnętrznej oznaczonej na rysunku planu symbolem 1KR;</w:t>
      </w:r>
    </w:p>
    <w:p w14:paraId="356664D1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dla terenu oznaczonego na rysunku planu symbolem 6MW ustala się obsługę komunikacyjną z drogi publicznej – drogi dojazdowej oznaczonej na rysunku planu symbolem 1KDD.</w:t>
      </w:r>
    </w:p>
    <w:p w14:paraId="34368576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6. </w:t>
      </w:r>
      <w:r>
        <w:rPr>
          <w:color w:val="000000"/>
          <w:u w:color="000000"/>
        </w:rPr>
        <w:t>Warunki w zakresie infrastruktury technicznej ustalone w Dziale IV.</w:t>
      </w:r>
    </w:p>
    <w:p w14:paraId="2AAACA0C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17. </w:t>
      </w:r>
      <w:r>
        <w:t>1. </w:t>
      </w:r>
      <w:r>
        <w:rPr>
          <w:color w:val="000000"/>
          <w:u w:color="000000"/>
        </w:rPr>
        <w:t xml:space="preserve">Wyznacza się teren oznaczony na rysunku planu symbolem </w:t>
      </w:r>
      <w:r>
        <w:rPr>
          <w:b/>
          <w:color w:val="000000"/>
          <w:u w:color="000000"/>
        </w:rPr>
        <w:t xml:space="preserve">1MW-U </w:t>
      </w:r>
      <w:r>
        <w:rPr>
          <w:color w:val="000000"/>
          <w:u w:color="000000"/>
        </w:rPr>
        <w:t xml:space="preserve">– teren zabudowy mieszkaniowej wielorodzinnej lub usług: </w:t>
      </w:r>
    </w:p>
    <w:p w14:paraId="75160174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przeznaczenie podstawowe – zabudowa mieszkaniowa wielorodzinna, usługi;</w:t>
      </w:r>
    </w:p>
    <w:p w14:paraId="6842A9D6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przeznaczenie uzupełniające – miejsca postojowe, parkingi, garaże, drogi wewnętrzne, ciągi piesze i rowerowe, zieleń urządzona, sieci, obiekty i urządzenia infrastruktury technicznej, obiekty małej architektury, budowle związane z funkcją podstawową.</w:t>
      </w:r>
    </w:p>
    <w:p w14:paraId="607A69C1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Zasady ochrony i kształtowania ładu przestrzennego:</w:t>
      </w:r>
    </w:p>
    <w:p w14:paraId="53380A59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zakaz lokalizacji usług powodujących uciążliwości dla funkcji mieszkaniowej;</w:t>
      </w:r>
    </w:p>
    <w:p w14:paraId="27F1CE20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zakaz lokalizacji usług handlu wielkopowierzchniowego;</w:t>
      </w:r>
    </w:p>
    <w:p w14:paraId="027D7AA5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zakaz lokalizacji usług turystyki;</w:t>
      </w:r>
    </w:p>
    <w:p w14:paraId="22D6B754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zakaz lokalizacji usług gastronomii;</w:t>
      </w:r>
    </w:p>
    <w:p w14:paraId="2243CB84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zakaz lokalizacji usług nauki;</w:t>
      </w:r>
    </w:p>
    <w:p w14:paraId="1DE341B3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dopuszcza się sytuowanie budynków w odległości 1,5 m od granicy lub bezpośrednio przy granicy z sąsiednią działką budowlaną;</w:t>
      </w:r>
    </w:p>
    <w:p w14:paraId="325C3317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zakaz lokalizacji garaży blaszanych.</w:t>
      </w:r>
    </w:p>
    <w:p w14:paraId="1620C2A3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Zasady kształtowania zabudowy oraz wskaźniki zagospodarowania terenu:</w:t>
      </w:r>
    </w:p>
    <w:p w14:paraId="01D7B36C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ustala się nadziemną intensywność zabudowy od 0,1 do 1,5;</w:t>
      </w:r>
    </w:p>
    <w:p w14:paraId="4B0ADF4B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ustala się maksymalny udział powierzchni zabudowy – 0,45;</w:t>
      </w:r>
    </w:p>
    <w:p w14:paraId="7B252EC4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minimalny udział powierzchni biologicznie czynnej – 30%;</w:t>
      </w:r>
    </w:p>
    <w:p w14:paraId="5C8002F9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lastRenderedPageBreak/>
        <w:t>4) </w:t>
      </w:r>
      <w:r>
        <w:rPr>
          <w:color w:val="000000"/>
          <w:u w:color="000000"/>
        </w:rPr>
        <w:t>dopuszcza się realizację kondygnacji podziemnych;</w:t>
      </w:r>
    </w:p>
    <w:p w14:paraId="35FEE858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rodzaj dachu - dach płaski;</w:t>
      </w:r>
    </w:p>
    <w:p w14:paraId="0F24424D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wysokość zabudowy – z zastrzeżeniem ustaleń § 10 pkt 1:</w:t>
      </w:r>
    </w:p>
    <w:p w14:paraId="7D103EA3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maksymalna wysokość budynków mieszkalnych – 16,0 m,</w:t>
      </w:r>
    </w:p>
    <w:p w14:paraId="733FFC08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maksymalna wysokość budynków usługowych – 5,0 m,</w:t>
      </w:r>
    </w:p>
    <w:p w14:paraId="78B4B2D1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maksymalna wysokość budynków garażowych – 5,0 m,</w:t>
      </w:r>
    </w:p>
    <w:p w14:paraId="473CFC21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maksymalna wysokość budowli – 8,0 m,</w:t>
      </w:r>
    </w:p>
    <w:p w14:paraId="09A14FBD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e) </w:t>
      </w:r>
      <w:r>
        <w:rPr>
          <w:color w:val="000000"/>
          <w:u w:color="000000"/>
        </w:rPr>
        <w:t>maksymalna wysokość budowli i urządzeń sytuowanych na dachach budynków – 5,0 m;</w:t>
      </w:r>
    </w:p>
    <w:p w14:paraId="0C7CBFA8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nie ustala się rodzaju pokrycia dachu;</w:t>
      </w:r>
    </w:p>
    <w:p w14:paraId="28D15A23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>realizacja elewacji z zastosowaniem nie więcej niż 3 rodzajów materiałów wykończeniowych (nie dotyczy obróbek blacharskich oraz stolarki).</w:t>
      </w:r>
    </w:p>
    <w:p w14:paraId="027BBCD9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W zakresie szczegółowych zasad i warunków scalania i podziału nieruchomości, ze względu na sposób zagospodarowania i stan własności, nie ustala się zasad i warunków scalania i podziału nieruchomości.</w:t>
      </w:r>
    </w:p>
    <w:p w14:paraId="600872EC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color w:val="000000"/>
          <w:u w:color="000000"/>
        </w:rPr>
        <w:t>Zasady obsługi komunikacyjnej:</w:t>
      </w:r>
    </w:p>
    <w:p w14:paraId="3F2DBA61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z drogi publicznej – drogi dojazdowej oznaczonej na rysunku planu symbolem 1KDD;</w:t>
      </w:r>
    </w:p>
    <w:p w14:paraId="5853E245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z drogi wewnętrznej oznaczonej na rysunku planu symbolem 2KR.</w:t>
      </w:r>
    </w:p>
    <w:p w14:paraId="251C5266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6. </w:t>
      </w:r>
      <w:r>
        <w:rPr>
          <w:color w:val="000000"/>
          <w:u w:color="000000"/>
        </w:rPr>
        <w:t>Warunki w zakresie infrastruktury technicznej ustalone w Dziale IV.</w:t>
      </w:r>
    </w:p>
    <w:p w14:paraId="4A91EB05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18. </w:t>
      </w:r>
      <w:r>
        <w:t>1. </w:t>
      </w:r>
      <w:r>
        <w:rPr>
          <w:color w:val="000000"/>
          <w:u w:color="000000"/>
        </w:rPr>
        <w:t xml:space="preserve">Wyznacza się teren oznaczony na rysunku planu symbolem </w:t>
      </w:r>
      <w:r>
        <w:rPr>
          <w:b/>
          <w:color w:val="000000"/>
          <w:u w:color="000000"/>
        </w:rPr>
        <w:t xml:space="preserve">1U </w:t>
      </w:r>
      <w:r>
        <w:rPr>
          <w:color w:val="000000"/>
          <w:u w:color="000000"/>
        </w:rPr>
        <w:t xml:space="preserve">– teren usług: </w:t>
      </w:r>
    </w:p>
    <w:p w14:paraId="5AF20218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przeznaczenie podstawowe – usługi;</w:t>
      </w:r>
    </w:p>
    <w:p w14:paraId="11474669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przeznaczenie uzupełniające – miejsca postojowe, parkingi, drogi wewnętrzne, ciągi piesze i rowerowe, zieleń urządzona, sieci, obiekty i urządzenia infrastruktury technicznej, obiekty małej architektury, budowle związane z funkcją podstawową.</w:t>
      </w:r>
    </w:p>
    <w:p w14:paraId="7664EF00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Zasady ochrony i kształtowania ładu przestrzennego:</w:t>
      </w:r>
    </w:p>
    <w:p w14:paraId="1931D06F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zakaz lokalizacji usług handlu wielkopowierzchniowego;</w:t>
      </w:r>
    </w:p>
    <w:p w14:paraId="2715E880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dopuszcza się sytuowanie budynków w odległości 1,5 m od granicy lub bezpośrednio przy granicy z sąsiednią działką budowlaną.</w:t>
      </w:r>
    </w:p>
    <w:p w14:paraId="0E85367E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Zasady kształtowania zabudowy oraz wskaźniki zagospodarowania terenu:</w:t>
      </w:r>
    </w:p>
    <w:p w14:paraId="278837E6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ustala się nadziemną intensywność zabudowy od 0,1 do 2,0;</w:t>
      </w:r>
    </w:p>
    <w:p w14:paraId="2FD527E8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ustala się maksymalny udział powierzchni zabudowy – 1,0;</w:t>
      </w:r>
    </w:p>
    <w:p w14:paraId="1F68AF59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minimalny udział powierzchni biologicznie czynnej – 0%;</w:t>
      </w:r>
    </w:p>
    <w:p w14:paraId="0E1BA86D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dopuszcza się realizację kondygnacji podziemnych;</w:t>
      </w:r>
    </w:p>
    <w:p w14:paraId="56190ED3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rodzaj dachu - dach płaski;</w:t>
      </w:r>
    </w:p>
    <w:p w14:paraId="1A5A9B75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wysokość zabudowy – z zastrzeżeniem ustaleń § 10 pkt 1:</w:t>
      </w:r>
    </w:p>
    <w:p w14:paraId="210A9313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maksymalna wysokość budynków usługowych – 9,0 m,</w:t>
      </w:r>
    </w:p>
    <w:p w14:paraId="2DB902E4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maksymalna wysokość budowli – 8,0 m,</w:t>
      </w:r>
    </w:p>
    <w:p w14:paraId="2DB0A724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maksymalna wysokość budowli sytuowanych na dachach budynków – 5,0 m;</w:t>
      </w:r>
    </w:p>
    <w:p w14:paraId="6D08E066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nie ustala się rodzaju pokrycia dachu;</w:t>
      </w:r>
    </w:p>
    <w:p w14:paraId="08959E79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>realizacja elewacji z zastosowaniem nie więcej niż 3 rodzajów materiałów wykończeniowych (nie dotyczy obróbek blacharskich oraz stolarki).</w:t>
      </w:r>
    </w:p>
    <w:p w14:paraId="6EED2D58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W zakresie szczegółowych zasad i warunków scalania i podziału nieruchomości, ze względu na sposób zagospodarowania i stan własności, nie ustala się zasad i warunków scalania i podziału nieruchomości.</w:t>
      </w:r>
    </w:p>
    <w:p w14:paraId="1BF17B50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lastRenderedPageBreak/>
        <w:t>5. </w:t>
      </w:r>
      <w:r>
        <w:rPr>
          <w:color w:val="000000"/>
          <w:u w:color="000000"/>
        </w:rPr>
        <w:t>Zasady obsługi komunikacyjnej:</w:t>
      </w:r>
    </w:p>
    <w:p w14:paraId="1A1466BC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z drogi wewnętrznej oznaczonej na rysunku planu symbolem 1KR;</w:t>
      </w:r>
    </w:p>
    <w:p w14:paraId="1BB5F664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z drogi publicznej – ul. Łódzkiej poza obszarem opracowania, poprzez teren 2KOP.</w:t>
      </w:r>
    </w:p>
    <w:p w14:paraId="2EBA27BB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6. </w:t>
      </w:r>
      <w:r>
        <w:rPr>
          <w:color w:val="000000"/>
          <w:u w:color="000000"/>
        </w:rPr>
        <w:t>Warunki w zakresie infrastruktury technicznej ustalone w Dziale IV.</w:t>
      </w:r>
    </w:p>
    <w:p w14:paraId="3692FCC3" w14:textId="77777777" w:rsidR="00A77B3E" w:rsidRDefault="00000000">
      <w:pPr>
        <w:keepNext/>
        <w:keepLines/>
        <w:jc w:val="center"/>
        <w:rPr>
          <w:color w:val="000000"/>
          <w:u w:color="000000"/>
        </w:rPr>
      </w:pPr>
      <w:r>
        <w:rPr>
          <w:b/>
        </w:rPr>
        <w:t>Rozdział 2.</w:t>
      </w:r>
      <w:r>
        <w:rPr>
          <w:color w:val="000000"/>
          <w:u w:color="000000"/>
        </w:rPr>
        <w:br/>
      </w:r>
      <w:r>
        <w:rPr>
          <w:b/>
          <w:color w:val="000000"/>
          <w:u w:color="000000"/>
        </w:rPr>
        <w:t>Ustalenia dotyczące terenów zieleni</w:t>
      </w:r>
    </w:p>
    <w:p w14:paraId="3FF797C9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19. </w:t>
      </w:r>
      <w:r>
        <w:t>1. </w:t>
      </w:r>
      <w:r>
        <w:rPr>
          <w:color w:val="000000"/>
          <w:u w:color="000000"/>
        </w:rPr>
        <w:t xml:space="preserve">Wyznacza się tereny oznaczone na rysunku planu symbolami </w:t>
      </w:r>
      <w:r>
        <w:rPr>
          <w:b/>
          <w:color w:val="000000"/>
          <w:u w:color="000000"/>
        </w:rPr>
        <w:t>1ZP, 2ZP, 3ZP, 4ZP, 5ZP, 6ZP, 7ZP</w:t>
      </w:r>
      <w:r>
        <w:rPr>
          <w:color w:val="000000"/>
          <w:u w:color="000000"/>
        </w:rPr>
        <w:t xml:space="preserve"> – teren zieleni urządzonej: </w:t>
      </w:r>
    </w:p>
    <w:p w14:paraId="1886D6C9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przeznaczenie podstawowe – zieleń urządzona;</w:t>
      </w:r>
    </w:p>
    <w:p w14:paraId="07EA8B8E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przeznaczenie uzupełniające – sieci, obiekty i urządzenia infrastruktury technicznej, obiekty małej architektury, niekubaturowe obiekty sportowo-rekreacyjne, ciągi piesze i rowerowe, budowle związane z funkcją podstawową.</w:t>
      </w:r>
    </w:p>
    <w:p w14:paraId="4BF87258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Zasady ochrony i kształtowania ładu przestrzennego:</w:t>
      </w:r>
    </w:p>
    <w:p w14:paraId="154776CF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ustala się minimalny udział powierzchni biologicznie czynnej - 60%;</w:t>
      </w:r>
    </w:p>
    <w:p w14:paraId="71A598B2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maksymalna wysokość budowli – 8,0 m.</w:t>
      </w:r>
    </w:p>
    <w:p w14:paraId="78DFD906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W zakresie szczegółowych zasad i warunków scalania i podziału nieruchomości, ze względu na stan własności, nie ustala się zasad i warunków scalania i podziału nieruchomości.</w:t>
      </w:r>
    </w:p>
    <w:p w14:paraId="3E95BED4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Warunki w zakresie infrastruktury technicznej ustalone w Dziale IV.</w:t>
      </w:r>
    </w:p>
    <w:p w14:paraId="11C6AA67" w14:textId="77777777" w:rsidR="00A77B3E" w:rsidRDefault="00000000">
      <w:pPr>
        <w:keepNext/>
        <w:keepLines/>
        <w:jc w:val="center"/>
        <w:rPr>
          <w:color w:val="000000"/>
          <w:u w:color="000000"/>
        </w:rPr>
      </w:pPr>
      <w:r>
        <w:rPr>
          <w:b/>
        </w:rPr>
        <w:t>Rozdział 3.</w:t>
      </w:r>
      <w:r>
        <w:rPr>
          <w:color w:val="000000"/>
          <w:u w:color="000000"/>
        </w:rPr>
        <w:br/>
      </w:r>
      <w:r>
        <w:rPr>
          <w:b/>
          <w:color w:val="000000"/>
          <w:u w:color="000000"/>
        </w:rPr>
        <w:t>Ustalenia dotyczące obsługi komunikacji</w:t>
      </w:r>
    </w:p>
    <w:p w14:paraId="0D83EDAA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20. </w:t>
      </w:r>
      <w:r>
        <w:rPr>
          <w:color w:val="000000"/>
          <w:u w:color="000000"/>
        </w:rPr>
        <w:t xml:space="preserve">1Wyznacza się teren oznaczony na rysunku planu symbolem </w:t>
      </w:r>
      <w:r>
        <w:rPr>
          <w:b/>
          <w:color w:val="000000"/>
          <w:u w:color="000000"/>
        </w:rPr>
        <w:t>1KDD</w:t>
      </w:r>
      <w:r>
        <w:rPr>
          <w:color w:val="000000"/>
          <w:u w:color="000000"/>
        </w:rPr>
        <w:t xml:space="preserve"> - teren dróg dojazdowych.</w:t>
      </w:r>
    </w:p>
    <w:p w14:paraId="194147BC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Ustala się następujące warunki zagospodarowania terenu:</w:t>
      </w:r>
    </w:p>
    <w:p w14:paraId="7869BAE1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szerokość pasa drogowego w liniach rozgraniczających terenu drogi dojazdowej oznaczonej na rysunku symbolem 1KDD ustala się w zakresie od 14,7 m do 22,0 m, zgodnie z rysunkiem planu,</w:t>
      </w:r>
    </w:p>
    <w:p w14:paraId="0B3343CD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przeznaczenie podstawowe: droga publiczna wraz z obiektami i urządzeniami związanymi z prowadzeniem, zabezpieczeniem i obsługą ruchu drogowego, parkingi, miejsca postojowe;</w:t>
      </w:r>
    </w:p>
    <w:p w14:paraId="48BCBEE7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przeznaczenie uzupełniające: sieci i urządzenia infrastruktury technicznej, ścieżki rowerowe, przystanki oraz wiaty przystankowe;</w:t>
      </w:r>
    </w:p>
    <w:p w14:paraId="0BF47CF0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ustala się minimalny udział powierzchni biologicznie czynnej - 5%;</w:t>
      </w:r>
    </w:p>
    <w:p w14:paraId="3D69AE92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ustala si e maksymalną wysokość budowli do 8,0 m.</w:t>
      </w:r>
    </w:p>
    <w:p w14:paraId="1A5AF766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21. </w:t>
      </w:r>
      <w:r>
        <w:rPr>
          <w:color w:val="000000"/>
          <w:u w:color="000000"/>
        </w:rPr>
        <w:t xml:space="preserve">1Wyznacza się tereny oznaczone na rysunku planu symbolami </w:t>
      </w:r>
      <w:r>
        <w:rPr>
          <w:b/>
          <w:color w:val="000000"/>
          <w:u w:color="000000"/>
        </w:rPr>
        <w:t>1KR</w:t>
      </w:r>
      <w:r>
        <w:rPr>
          <w:color w:val="000000"/>
          <w:u w:color="000000"/>
        </w:rPr>
        <w:t xml:space="preserve">, </w:t>
      </w:r>
      <w:r>
        <w:rPr>
          <w:b/>
          <w:color w:val="000000"/>
          <w:u w:color="000000"/>
        </w:rPr>
        <w:t>2KR, 3KR, 4KR</w:t>
      </w:r>
      <w:r>
        <w:rPr>
          <w:color w:val="000000"/>
          <w:u w:color="000000"/>
        </w:rPr>
        <w:t xml:space="preserve"> - teren komunikacji drogowej wewnętrznej.</w:t>
      </w:r>
    </w:p>
    <w:p w14:paraId="2ED1CE29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Ustala się następujące warunki zagospodarowania terenu:</w:t>
      </w:r>
    </w:p>
    <w:p w14:paraId="41DEC706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szerokość pasa drogowego w liniach rozgraniczających:</w:t>
      </w:r>
    </w:p>
    <w:p w14:paraId="1A85F9A3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dla terenu drogi wewnętrznej oznaczonej na rysunku symbolem 1KR ustala się w zakresie od 13,1 m do 23,8 m, zgodnie z rysunkiem planu,</w:t>
      </w:r>
    </w:p>
    <w:p w14:paraId="20C6AE7E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terenu drogi wewnętrznej oznaczonej na rysunku symbolem 2KR ustala się w zakresie od 11,2 m do 17,6 m, zgodnie z rysunkiem planu,</w:t>
      </w:r>
    </w:p>
    <w:p w14:paraId="0120EE2B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dla terenu drogi wewnętrznej oznaczonej na rysunku symbolem 3KR ustala się 11,3 m, zgodnie z rysunkiem planu,</w:t>
      </w:r>
    </w:p>
    <w:p w14:paraId="675DABA7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dla terenu drogi wewnętrznej oznaczonej na rysunku symbolem 4KR ustala się w zakresie od 5,4 m do 20,9 m, zgodnie z rysunkiem planu;</w:t>
      </w:r>
    </w:p>
    <w:p w14:paraId="0F8F232D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przeznaczenie podstawowe: drogi wewnętrzne wraz z obiektami i urządzeniami związanymi z prowadzeniem, zabezpieczeniem i obsługą ruchu drogowego, parkingi, miejsca postojowe;</w:t>
      </w:r>
    </w:p>
    <w:p w14:paraId="01453DCF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lastRenderedPageBreak/>
        <w:t>3) </w:t>
      </w:r>
      <w:r>
        <w:rPr>
          <w:color w:val="000000"/>
          <w:u w:color="000000"/>
        </w:rPr>
        <w:t>przeznaczenie uzupełniające: sieci i urządzenia infrastruktury technicznej, ciągi piesze i rowerowe;</w:t>
      </w:r>
    </w:p>
    <w:p w14:paraId="5860D41D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ustala się maksymalną wysokość budowli do 8,0 m.</w:t>
      </w:r>
    </w:p>
    <w:p w14:paraId="15B632EE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22. </w:t>
      </w:r>
      <w:r>
        <w:rPr>
          <w:color w:val="000000"/>
          <w:u w:color="000000"/>
        </w:rPr>
        <w:t xml:space="preserve">1Wyznacza się tereny oznaczone na rysunku planu symbolami </w:t>
      </w:r>
      <w:r>
        <w:rPr>
          <w:b/>
          <w:color w:val="000000"/>
          <w:u w:color="000000"/>
        </w:rPr>
        <w:t xml:space="preserve">1KPP, 2KPP, 3KPP </w:t>
      </w:r>
      <w:r>
        <w:rPr>
          <w:color w:val="000000"/>
          <w:u w:color="000000"/>
        </w:rPr>
        <w:t>- teren komunikacji pieszej.</w:t>
      </w:r>
    </w:p>
    <w:p w14:paraId="09CCA3F7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Ustala się następujące warunki zagospodarowania terenu:</w:t>
      </w:r>
    </w:p>
    <w:p w14:paraId="0ABAE37F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szerokość drogi dla pieszych w liniach rozgraniczających;</w:t>
      </w:r>
    </w:p>
    <w:p w14:paraId="3EB62B6B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dla terenu drogi dla pieszych oznaczonego na rysunku symbolem 1KPP ustala się 4,0 m, zgodnie z rysunkiem planu,</w:t>
      </w:r>
    </w:p>
    <w:p w14:paraId="6DAC8F1F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terenu drogi dla pieszych oznaczonego na rysunku symbolem 2KPP ustala się w zakresie od 4,0 m do 13,9 m, zgodnie z rysunkiem planu,</w:t>
      </w:r>
    </w:p>
    <w:p w14:paraId="0FFB7DA5" w14:textId="77777777" w:rsidR="00A77B3E" w:rsidRDefault="0000000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dla terenu drogi dla pieszych oznaczonego na rysunku symbolem 3KPP ustala się w zakresie od 4,0 m do 5,7 m, zgodnie z rysunkiem planu;</w:t>
      </w:r>
    </w:p>
    <w:p w14:paraId="3E0FCD47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przeznaczenie podstawowe: droga dla pieszych wraz z obiektami i urządzeniami związanymi z prowadzeniem, zabezpieczeniem i obsługą ruchu pieszego;</w:t>
      </w:r>
    </w:p>
    <w:p w14:paraId="7F42E851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przeznaczenie uzupełniające: sieci i urządzenia infrastruktury technicznej;</w:t>
      </w:r>
    </w:p>
    <w:p w14:paraId="44D76F3A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ustala się maksymalną wysokość budowli do 8,0 m.</w:t>
      </w:r>
    </w:p>
    <w:p w14:paraId="17D2CB08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23. </w:t>
      </w:r>
      <w:r>
        <w:rPr>
          <w:color w:val="000000"/>
          <w:u w:color="000000"/>
        </w:rPr>
        <w:t xml:space="preserve">1Wyznacza się tereny oznaczone na rysunku planu symbolami </w:t>
      </w:r>
      <w:r>
        <w:rPr>
          <w:b/>
          <w:color w:val="000000"/>
          <w:u w:color="000000"/>
        </w:rPr>
        <w:t xml:space="preserve">1KOP, 2KOP </w:t>
      </w:r>
      <w:r>
        <w:rPr>
          <w:color w:val="000000"/>
          <w:u w:color="000000"/>
        </w:rPr>
        <w:t>– teren parkingu.</w:t>
      </w:r>
    </w:p>
    <w:p w14:paraId="0CC3A5E9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przeznaczenie podstawowe – parking;</w:t>
      </w:r>
    </w:p>
    <w:p w14:paraId="48C0915E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przeznaczenie uzupełniające – sieci, obiekty i urządzenia infrastruktury technicznej, budowle związane z funkcją podstawową.</w:t>
      </w:r>
    </w:p>
    <w:p w14:paraId="1E95A60E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Ustala się następujące warunki zagospodarowania terenu:</w:t>
      </w:r>
    </w:p>
    <w:p w14:paraId="6E1037EE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maksymalna wysokość budowli – do 8,0 m;</w:t>
      </w:r>
    </w:p>
    <w:p w14:paraId="7F3EA549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obowiązek realizowania jednolitej nawierzchni parkingu w zakresie użytego materiału i koloru;</w:t>
      </w:r>
    </w:p>
    <w:p w14:paraId="2157DD3A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minimalny udział powierzchni biologicznie czynnej - 10%;</w:t>
      </w:r>
    </w:p>
    <w:p w14:paraId="42CECFB7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dopuszcza się lokalizację chodników i ścieżek rowerowych.</w:t>
      </w:r>
    </w:p>
    <w:p w14:paraId="13036A90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Zasady obsługi komunikacyjnej:</w:t>
      </w:r>
    </w:p>
    <w:p w14:paraId="051BC9F1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dla terenu oznaczonego symbolem 1KOP ustala się obsługę komunikacyjną z drogi wewnętrznej, oznaczonej na rysunku planu symbolem 1KR;</w:t>
      </w:r>
    </w:p>
    <w:p w14:paraId="161EDBCD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dla terenu oznaczonego symbolem 2KOP ustala się obsługę komunikacyjną z drogi publicznej ul. Łódzkiej, poza obszarem opracowania.</w:t>
      </w:r>
    </w:p>
    <w:p w14:paraId="38E2F242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Warunki w zakresie infrastruktury technicznej ustalone w Dziale IV.</w:t>
      </w:r>
    </w:p>
    <w:p w14:paraId="75749CF3" w14:textId="77777777" w:rsidR="00A77B3E" w:rsidRDefault="00000000">
      <w:pPr>
        <w:keepNext/>
        <w:keepLines/>
        <w:jc w:val="center"/>
        <w:rPr>
          <w:color w:val="000000"/>
          <w:u w:color="000000"/>
        </w:rPr>
      </w:pPr>
      <w:r>
        <w:rPr>
          <w:b/>
        </w:rPr>
        <w:t>Rozdział 4.</w:t>
      </w:r>
      <w:r>
        <w:rPr>
          <w:color w:val="000000"/>
          <w:u w:color="000000"/>
        </w:rPr>
        <w:br/>
      </w:r>
      <w:r>
        <w:rPr>
          <w:b/>
          <w:color w:val="000000"/>
          <w:u w:color="000000"/>
        </w:rPr>
        <w:t>Ustalenia dotyczące terenów infrastruktury</w:t>
      </w:r>
    </w:p>
    <w:p w14:paraId="15B6015A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24. </w:t>
      </w:r>
      <w:r>
        <w:t>1. </w:t>
      </w:r>
      <w:r>
        <w:rPr>
          <w:color w:val="000000"/>
          <w:u w:color="000000"/>
        </w:rPr>
        <w:t xml:space="preserve">Wyznacza się teren oznaczony na rysunku planu symbolem </w:t>
      </w:r>
      <w:r>
        <w:rPr>
          <w:b/>
          <w:color w:val="000000"/>
          <w:u w:color="000000"/>
        </w:rPr>
        <w:t xml:space="preserve">1IE </w:t>
      </w:r>
      <w:r>
        <w:rPr>
          <w:color w:val="000000"/>
          <w:u w:color="000000"/>
        </w:rPr>
        <w:t>– teren elektroenergetyki.</w:t>
      </w:r>
    </w:p>
    <w:p w14:paraId="025EA2E8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W zakresie warunków zagospodarowania dopuszcza się sytuowanie budynków w odległości 1,5 m od granicy lub bezpośrednio przy granicy z sąsiednią działką budowlaną.</w:t>
      </w:r>
    </w:p>
    <w:p w14:paraId="039C3D28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Zasady kształtowania zabudowy oraz wskaźniki zagospodarowania terenu:</w:t>
      </w:r>
    </w:p>
    <w:p w14:paraId="1BE2D4B8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ustala się nadziemną intensywność zabudowy od 0,1 do 0,4;</w:t>
      </w:r>
    </w:p>
    <w:p w14:paraId="68074F41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ustala się maksymalny udział powierzchni zabudowy – 0,4;</w:t>
      </w:r>
    </w:p>
    <w:p w14:paraId="7B7858F3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minimalny udział powierzchni biologicznie czynnej - 10%;</w:t>
      </w:r>
    </w:p>
    <w:p w14:paraId="52F94CD3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maksymalna wysokość budynków do 4,0 m;</w:t>
      </w:r>
    </w:p>
    <w:p w14:paraId="41051FE1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maksymalna wysokość budowli do 8,0 m;</w:t>
      </w:r>
    </w:p>
    <w:p w14:paraId="7CA4E3C9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lastRenderedPageBreak/>
        <w:t>6) </w:t>
      </w:r>
      <w:r>
        <w:rPr>
          <w:color w:val="000000"/>
          <w:u w:color="000000"/>
        </w:rPr>
        <w:t>rodzaj dachu – dach płaski;</w:t>
      </w:r>
    </w:p>
    <w:p w14:paraId="5CC3892F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realizacja elewacji z zastosowaniem nie więcej niż 2 rodzajów i 2 kolorów materiałów wykończeniowych;</w:t>
      </w:r>
    </w:p>
    <w:p w14:paraId="5472B0F5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>zakaz stosowania na elewacjach blach trapezowych, falistych i blachodachówki oraz płytek ceramicznych.</w:t>
      </w:r>
    </w:p>
    <w:p w14:paraId="4EFB7B86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Dla terenu oznaczonego symbolem 1IE ustala się obsługę komunikacyjną z drogi wewnętrznej, oznaczonej na rysunku planu symbolem 1KR oraz poprzez teren 1MW.</w:t>
      </w:r>
    </w:p>
    <w:p w14:paraId="20BE9953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color w:val="000000"/>
          <w:u w:color="000000"/>
        </w:rPr>
        <w:t>Warunki w zakresie infrastruktury technicznej ustalone w Dziale IV.</w:t>
      </w:r>
    </w:p>
    <w:p w14:paraId="4B0CD03B" w14:textId="77777777" w:rsidR="00A77B3E" w:rsidRDefault="00000000">
      <w:pPr>
        <w:keepNext/>
        <w:keepLines/>
        <w:jc w:val="center"/>
        <w:rPr>
          <w:color w:val="000000"/>
          <w:u w:color="000000"/>
        </w:rPr>
      </w:pPr>
      <w:r>
        <w:rPr>
          <w:b/>
          <w:caps/>
        </w:rPr>
        <w:t>Dział IV.</w:t>
      </w:r>
      <w:r>
        <w:rPr>
          <w:color w:val="000000"/>
          <w:u w:color="000000"/>
        </w:rPr>
        <w:br/>
      </w:r>
      <w:r>
        <w:rPr>
          <w:b/>
          <w:color w:val="000000"/>
          <w:u w:color="000000"/>
        </w:rPr>
        <w:t>USTALENIA SZCZEGÓŁOWE DOTYCZĄCE INFRASTRUKTURY TECHNICZNEJ</w:t>
      </w:r>
    </w:p>
    <w:p w14:paraId="459D416C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25. </w:t>
      </w:r>
      <w:r>
        <w:t>1. </w:t>
      </w:r>
      <w:r>
        <w:rPr>
          <w:color w:val="000000"/>
          <w:u w:color="000000"/>
        </w:rPr>
        <w:t>Ustala się zaopatrzenie w wodę do celów socjalno – bytowych, gospodarczych i przeciwpożarowych z istniejącej i projektowanej sieci wodociągowej.</w:t>
      </w:r>
    </w:p>
    <w:p w14:paraId="3CE3ABD8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Ustala się odprowadzenie ścieków poprzez istniejące i projektowane sieci do zbiorowego systemu odprowadzania ścieków.</w:t>
      </w:r>
    </w:p>
    <w:p w14:paraId="05444E9F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Ustala się następujące zasady wyposażenia i obsługi w zakresie odprowadzania wód opadowych i roztopowych:</w:t>
      </w:r>
    </w:p>
    <w:p w14:paraId="2888D260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odprowadzenie wód opadowych i roztopowych powierzchniowo oraz poprzez istniejący i projektowany system sieci kanalizacji deszczowej, w tym poprzez rozwiązania służące czasowej retencji;</w:t>
      </w:r>
    </w:p>
    <w:p w14:paraId="23FB7196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nakaz stosowania urządzeń umożliwiających wykorzystanie na miejscu wód opadowych i roztopowych, z dopuszczeniem odprowadzenia ich do gruntu na warunkach określonych w przepisach odrębnych, w celu ograniczenia ich odpływu do sieci kanalizacji deszczowej;</w:t>
      </w:r>
    </w:p>
    <w:p w14:paraId="004150A0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nakaz stosowania rozwiązań umożliwiających wykorzystanie lub retencjonowanie nadmiaru wód opadowych i roztopowych w miejscu ich powstania, z dopuszczeniem odprowadzenia ich do odbiornika na warunkach określonych w przepisach odrębnych dotyczących zbiorowego zaopatrzenia w wodę i zbiorowego odprowadzenia ścieków oraz prawa wodnego, a także budownictwa;</w:t>
      </w:r>
    </w:p>
    <w:p w14:paraId="64BEC863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w terenach 5MW i 6MW obowiązek zagospodarowania min. 30% wód opadowych i roztopowych w obrębie działki budowlanej.</w:t>
      </w:r>
    </w:p>
    <w:p w14:paraId="061A7C00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Ustala się następujące zasady wyposażenia i obsługi w zakresie zaopatrzenia w energię elektryczną:</w:t>
      </w:r>
    </w:p>
    <w:p w14:paraId="4113BB6E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zasilanie w energię elektryczną z istniejących i projektowanych stacji transformatorowych;</w:t>
      </w:r>
    </w:p>
    <w:p w14:paraId="2D0A43FA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dopuszcza się remont, przebudowę oraz likwidację istniejących linii elektroenergetycznych;</w:t>
      </w:r>
    </w:p>
    <w:p w14:paraId="7DDE9F90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dla nowo realizowanych odcinków sieci elektroenergetycznych obowiązuje zastosowanie wyłącznie linii kablowych układanych w gruncie;</w:t>
      </w:r>
    </w:p>
    <w:p w14:paraId="609C5E08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dopuszcza się stosowanie źródeł energii elektrycznej wykorzystujących odnawialne źródła energii.</w:t>
      </w:r>
    </w:p>
    <w:p w14:paraId="69D04985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color w:val="000000"/>
          <w:u w:color="000000"/>
        </w:rPr>
        <w:t>Ustala się zaopatrzenie w gaz poprzez przyłączenie do istniejącej i projektowanej sieci gazowej.</w:t>
      </w:r>
    </w:p>
    <w:p w14:paraId="76A173BE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6. </w:t>
      </w:r>
      <w:r>
        <w:rPr>
          <w:color w:val="000000"/>
          <w:u w:color="000000"/>
        </w:rPr>
        <w:t>Ustala się następujące zasady wyposażenia i obsługi w zakresie zaopatrzenia w ciepło:</w:t>
      </w:r>
    </w:p>
    <w:p w14:paraId="2AE2269A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ustala się zaopatrzenie w ciepło z miejskiej sieci ciepłowniczej za pośrednictwem istniejących i projektowanych rurociągów;</w:t>
      </w:r>
    </w:p>
    <w:p w14:paraId="40EFAF0C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dopuszcza się stosowanie nośników energii cieplnej wykorzystujących odnawialne źródła energii.</w:t>
      </w:r>
    </w:p>
    <w:p w14:paraId="461B35AD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7. </w:t>
      </w:r>
      <w:r>
        <w:rPr>
          <w:color w:val="000000"/>
          <w:u w:color="000000"/>
        </w:rPr>
        <w:t>Ustala się następujące zasady wyposażenia w infrastrukturę telekomunikacyjną:</w:t>
      </w:r>
    </w:p>
    <w:p w14:paraId="1CE71148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zaopatrzenie w infrastrukturę telekomunikacyjną poprzez istniejące i projektowane urządzenia i sieci teletechniczne;</w:t>
      </w:r>
    </w:p>
    <w:p w14:paraId="678EAC0E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dopuszcza się lokalizację inwestycji celu publicznego z zakresu telekomunikacji na warunkach określonych w przepisach odrębnych, zgodnie z ustaleniami planu, w szczególności z ustaleniami w zakresie ochrony przed polami elektromagnetycznymi;</w:t>
      </w:r>
    </w:p>
    <w:p w14:paraId="676B7810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obowiązuje realizacja podziemnej sieci teletechnicznej.</w:t>
      </w:r>
    </w:p>
    <w:p w14:paraId="20E9FBFE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8. </w:t>
      </w:r>
      <w:r>
        <w:rPr>
          <w:color w:val="000000"/>
          <w:u w:color="000000"/>
        </w:rPr>
        <w:t>Ustala się następujące zasady wyposażenia i obsługi w zakresie gospodarki odpadami stałymi:</w:t>
      </w:r>
    </w:p>
    <w:p w14:paraId="4B75149E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lastRenderedPageBreak/>
        <w:t>1) </w:t>
      </w:r>
      <w:r>
        <w:rPr>
          <w:color w:val="000000"/>
          <w:u w:color="000000"/>
        </w:rPr>
        <w:t>usuwanie odpadów komunalnych w oparciu o miejski system oczyszczania;</w:t>
      </w:r>
    </w:p>
    <w:p w14:paraId="65A4C6F7" w14:textId="77777777" w:rsidR="00A77B3E" w:rsidRDefault="0000000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usuwanie pozostałych odpadów w oparciu o przepisy odrębne.</w:t>
      </w:r>
    </w:p>
    <w:p w14:paraId="7D71DC33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9. </w:t>
      </w:r>
      <w:r>
        <w:rPr>
          <w:color w:val="000000"/>
          <w:u w:color="000000"/>
        </w:rPr>
        <w:t>Na całym obszarze objętym planem dopuszcza się lokalizację obiektów, sieci i urządzeń infrastruktury technicznej, w tym stacji transformatorowych.</w:t>
      </w:r>
    </w:p>
    <w:p w14:paraId="14199501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t>10. </w:t>
      </w:r>
      <w:r>
        <w:rPr>
          <w:color w:val="000000"/>
          <w:u w:color="000000"/>
        </w:rPr>
        <w:t>Dopuszcza się wydzielenie działek dla lokalizacji obiektów, sieci i urządzeń infrastruktury technicznej, w tym stacji transformatorowych, przy czym nowo wydzielane działki muszę mieć dostęp do drogi publicznej.</w:t>
      </w:r>
    </w:p>
    <w:p w14:paraId="3476003C" w14:textId="77777777" w:rsidR="00A77B3E" w:rsidRDefault="00000000">
      <w:pPr>
        <w:keepNext/>
        <w:keepLines/>
        <w:jc w:val="center"/>
        <w:rPr>
          <w:color w:val="000000"/>
          <w:u w:color="000000"/>
        </w:rPr>
      </w:pPr>
      <w:r>
        <w:rPr>
          <w:b/>
          <w:caps/>
        </w:rPr>
        <w:t>Dział V.</w:t>
      </w:r>
      <w:r>
        <w:rPr>
          <w:color w:val="000000"/>
          <w:u w:color="000000"/>
        </w:rPr>
        <w:br/>
      </w:r>
      <w:r>
        <w:rPr>
          <w:b/>
          <w:color w:val="000000"/>
          <w:u w:color="000000"/>
        </w:rPr>
        <w:t>USTALENIA KOŃCOWE</w:t>
      </w:r>
    </w:p>
    <w:p w14:paraId="2DF3D278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26. </w:t>
      </w:r>
      <w:r>
        <w:rPr>
          <w:color w:val="000000"/>
          <w:u w:color="000000"/>
        </w:rPr>
        <w:t>Uchwała podlega ogłoszeniu w Dzienniku Urzędowym Województwa Łódzkiego i na stronie internetowej Miasta Piotrkowa Trybunalskiego.</w:t>
      </w:r>
    </w:p>
    <w:p w14:paraId="7DDE02CF" w14:textId="77777777" w:rsidR="00A77B3E" w:rsidRDefault="00000000">
      <w:pPr>
        <w:keepLines/>
        <w:spacing w:before="120" w:after="120"/>
        <w:ind w:firstLine="340"/>
        <w:rPr>
          <w:color w:val="000000"/>
          <w:u w:color="000000"/>
        </w:rPr>
        <w:sectPr w:rsidR="00A77B3E">
          <w:footerReference w:type="default" r:id="rId6"/>
          <w:endnotePr>
            <w:numFmt w:val="decimal"/>
          </w:endnotePr>
          <w:pgSz w:w="11906" w:h="16838"/>
          <w:pgMar w:top="992" w:right="1020" w:bottom="992" w:left="1020" w:header="708" w:footer="708" w:gutter="0"/>
          <w:cols w:space="708"/>
          <w:docGrid w:linePitch="360"/>
        </w:sectPr>
      </w:pPr>
      <w:r>
        <w:rPr>
          <w:b/>
        </w:rPr>
        <w:t>§ 27. </w:t>
      </w:r>
      <w:r>
        <w:rPr>
          <w:color w:val="000000"/>
          <w:u w:color="000000"/>
        </w:rPr>
        <w:t>Uchwała wchodzi w życie po upływie 14 dni od dnia ogłoszenia w Dzienniku Urzędowym Województwa Łódzkiego.</w:t>
      </w:r>
    </w:p>
    <w:p w14:paraId="491EA866" w14:textId="77777777" w:rsidR="00A77B3E" w:rsidRDefault="00000000">
      <w:pPr>
        <w:spacing w:before="120" w:after="120" w:line="360" w:lineRule="auto"/>
        <w:ind w:left="5229"/>
        <w:jc w:val="left"/>
        <w:rPr>
          <w:color w:val="000000"/>
          <w:u w:color="000000"/>
        </w:rPr>
      </w:pPr>
      <w:r>
        <w:rPr>
          <w:color w:val="000000"/>
          <w:u w:color="000000"/>
        </w:rPr>
        <w:lastRenderedPageBreak/>
        <w:fldChar w:fldCharType="begin"/>
      </w:r>
      <w:r>
        <w:rPr>
          <w:color w:val="000000"/>
          <w:u w:color="000000"/>
        </w:rPr>
        <w:fldChar w:fldCharType="separate"/>
      </w:r>
      <w:r>
        <w:rPr>
          <w:color w:val="000000"/>
          <w:u w:color="000000"/>
        </w:rPr>
        <w:fldChar w:fldCharType="end"/>
      </w:r>
      <w:r>
        <w:rPr>
          <w:color w:val="000000"/>
          <w:u w:color="000000"/>
        </w:rPr>
        <w:t>Załącznik Nr 1 do uchwały Nr ....................</w:t>
      </w:r>
      <w:r>
        <w:rPr>
          <w:color w:val="000000"/>
          <w:u w:color="000000"/>
        </w:rPr>
        <w:br/>
        <w:t>Rady Miasta Piotrkowa Trybunalskiego</w:t>
      </w:r>
      <w:r>
        <w:rPr>
          <w:color w:val="000000"/>
          <w:u w:color="000000"/>
        </w:rPr>
        <w:br/>
        <w:t>z dnia....................2024 r.</w:t>
      </w:r>
    </w:p>
    <w:p w14:paraId="382F2BCB" w14:textId="77777777" w:rsidR="00A77B3E" w:rsidRDefault="0000000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</w:rPr>
        <w:lastRenderedPageBreak/>
        <w:drawing>
          <wp:inline distT="0" distB="0" distL="0" distR="0" wp14:anchorId="6231EB5A" wp14:editId="301ED2FC">
            <wp:extent cx="6270697" cy="8865198"/>
            <wp:effectExtent l="0" t="0" r="0" b="0"/>
            <wp:docPr id="100001" name="Obraz 100001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1" name=""/>
                    <pic:cNvPicPr>
                      <a:picLocks noChangeAspect="1"/>
                    </pic:cNvPicPr>
                  </pic:nvPicPr>
                  <pic:blipFill>
                    <a:blip r:embed="rId7" r:link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70697" cy="8865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FE351" w14:textId="77777777" w:rsidR="00A77B3E" w:rsidRDefault="0000000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</w:rPr>
        <w:lastRenderedPageBreak/>
        <w:drawing>
          <wp:inline distT="0" distB="0" distL="0" distR="0" wp14:anchorId="2990C79E" wp14:editId="3246C979">
            <wp:extent cx="6267777" cy="8861069"/>
            <wp:effectExtent l="0" t="0" r="0" b="0"/>
            <wp:docPr id="100003" name="Obraz 100003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3" name=""/>
                    <pic:cNvPicPr>
                      <a:picLocks noChangeAspect="1"/>
                    </pic:cNvPicPr>
                  </pic:nvPicPr>
                  <pic:blipFill>
                    <a:blip r:embed="rId9" r:link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0425C" w14:textId="77777777" w:rsidR="00A77B3E" w:rsidRDefault="0000000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</w:rPr>
        <w:lastRenderedPageBreak/>
        <w:drawing>
          <wp:inline distT="0" distB="0" distL="0" distR="0" wp14:anchorId="60ABEEF6" wp14:editId="3EFB4290">
            <wp:extent cx="6267777" cy="8861069"/>
            <wp:effectExtent l="0" t="0" r="0" b="0"/>
            <wp:docPr id="100005" name="Obraz 100005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5" name=""/>
                    <pic:cNvPicPr>
                      <a:picLocks noChangeAspect="1"/>
                    </pic:cNvPicPr>
                  </pic:nvPicPr>
                  <pic:blipFill>
                    <a:blip r:embed="rId11" r:link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EBC83" w14:textId="77777777" w:rsidR="00A77B3E" w:rsidRDefault="0000000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</w:rPr>
        <w:lastRenderedPageBreak/>
        <w:drawing>
          <wp:inline distT="0" distB="0" distL="0" distR="0" wp14:anchorId="48355711" wp14:editId="415A0F54">
            <wp:extent cx="6267777" cy="8861069"/>
            <wp:effectExtent l="0" t="0" r="0" b="0"/>
            <wp:docPr id="100007" name="Obraz 100007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7" name=""/>
                    <pic:cNvPicPr>
                      <a:picLocks noChangeAspect="1"/>
                    </pic:cNvPicPr>
                  </pic:nvPicPr>
                  <pic:blipFill>
                    <a:blip r:embed="rId13" r:link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28F16" w14:textId="77777777" w:rsidR="00A77B3E" w:rsidRDefault="0000000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</w:rPr>
        <w:lastRenderedPageBreak/>
        <w:drawing>
          <wp:inline distT="0" distB="0" distL="0" distR="0" wp14:anchorId="370ACF6D" wp14:editId="34C44E22">
            <wp:extent cx="6267777" cy="8861069"/>
            <wp:effectExtent l="0" t="0" r="0" b="0"/>
            <wp:docPr id="100009" name="Obraz 100009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9" name=""/>
                    <pic:cNvPicPr>
                      <a:picLocks noChangeAspect="1"/>
                    </pic:cNvPicPr>
                  </pic:nvPicPr>
                  <pic:blipFill>
                    <a:blip r:embed="rId15" r:link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7F9E3" w14:textId="77777777" w:rsidR="00A77B3E" w:rsidRDefault="0000000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</w:rPr>
        <w:lastRenderedPageBreak/>
        <w:drawing>
          <wp:inline distT="0" distB="0" distL="0" distR="0" wp14:anchorId="69F63768" wp14:editId="25B86E72">
            <wp:extent cx="6267777" cy="8861069"/>
            <wp:effectExtent l="0" t="0" r="0" b="0"/>
            <wp:docPr id="100011" name="Obraz 100011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1" name=""/>
                    <pic:cNvPicPr>
                      <a:picLocks noChangeAspect="1"/>
                    </pic:cNvPicPr>
                  </pic:nvPicPr>
                  <pic:blipFill>
                    <a:blip r:embed="rId17" r:link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A4A77" w14:textId="77777777" w:rsidR="00A77B3E" w:rsidRDefault="0000000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</w:rPr>
        <w:lastRenderedPageBreak/>
        <w:drawing>
          <wp:inline distT="0" distB="0" distL="0" distR="0" wp14:anchorId="2F71C0D7" wp14:editId="39FFBF23">
            <wp:extent cx="6267777" cy="8861069"/>
            <wp:effectExtent l="0" t="0" r="0" b="0"/>
            <wp:docPr id="100013" name="Obraz 100013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3" name=""/>
                    <pic:cNvPicPr>
                      <a:picLocks noChangeAspect="1"/>
                    </pic:cNvPicPr>
                  </pic:nvPicPr>
                  <pic:blipFill>
                    <a:blip r:embed="rId19" r:link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77845" w14:textId="77777777" w:rsidR="00A77B3E" w:rsidRDefault="0000000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</w:rPr>
        <w:lastRenderedPageBreak/>
        <w:drawing>
          <wp:inline distT="0" distB="0" distL="0" distR="0" wp14:anchorId="2354830C" wp14:editId="7C343B52">
            <wp:extent cx="6267777" cy="8861069"/>
            <wp:effectExtent l="0" t="0" r="0" b="0"/>
            <wp:docPr id="100015" name="Obraz 100015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5" name=""/>
                    <pic:cNvPicPr>
                      <a:picLocks noChangeAspect="1"/>
                    </pic:cNvPicPr>
                  </pic:nvPicPr>
                  <pic:blipFill>
                    <a:blip r:embed="rId21" r:link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DBC04" w14:textId="77777777" w:rsidR="00A77B3E" w:rsidRDefault="0000000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</w:rPr>
        <w:lastRenderedPageBreak/>
        <w:drawing>
          <wp:inline distT="0" distB="0" distL="0" distR="0" wp14:anchorId="7AD4C26E" wp14:editId="4F33E9B9">
            <wp:extent cx="6267777" cy="8861069"/>
            <wp:effectExtent l="0" t="0" r="0" b="0"/>
            <wp:docPr id="100017" name="Obraz 100017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7" name=""/>
                    <pic:cNvPicPr>
                      <a:picLocks noChangeAspect="1"/>
                    </pic:cNvPicPr>
                  </pic:nvPicPr>
                  <pic:blipFill>
                    <a:blip r:embed="rId23" r:link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2D432" w14:textId="77777777" w:rsidR="00A77B3E" w:rsidRDefault="0000000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</w:rPr>
        <w:lastRenderedPageBreak/>
        <w:drawing>
          <wp:inline distT="0" distB="0" distL="0" distR="0" wp14:anchorId="159A507A" wp14:editId="5C0E0BDF">
            <wp:extent cx="2925875" cy="9432290"/>
            <wp:effectExtent l="0" t="0" r="0" b="0"/>
            <wp:docPr id="100019" name="Obraz 100019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9" name=""/>
                    <pic:cNvPicPr>
                      <a:picLocks noChangeAspect="1"/>
                    </pic:cNvPicPr>
                  </pic:nvPicPr>
                  <pic:blipFill>
                    <a:blip r:embed="rId25" r:link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925875" cy="943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98542" w14:textId="77777777" w:rsidR="00A77B3E" w:rsidRDefault="0000000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</w:rPr>
        <w:lastRenderedPageBreak/>
        <w:drawing>
          <wp:inline distT="0" distB="0" distL="0" distR="0" wp14:anchorId="21EA42A7" wp14:editId="330BD5F0">
            <wp:extent cx="6269596" cy="8871478"/>
            <wp:effectExtent l="0" t="0" r="0" b="0"/>
            <wp:docPr id="100021" name="Obraz 100021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1" name=""/>
                    <pic:cNvPicPr>
                      <a:picLocks noChangeAspect="1"/>
                    </pic:cNvPicPr>
                  </pic:nvPicPr>
                  <pic:blipFill>
                    <a:blip r:embed="rId27" r:link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69596" cy="8871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9F8A3" w14:textId="77777777" w:rsidR="00A77B3E" w:rsidRDefault="00A77B3E">
      <w:pPr>
        <w:spacing w:before="120" w:after="120"/>
        <w:ind w:left="283" w:firstLine="227"/>
        <w:jc w:val="left"/>
        <w:rPr>
          <w:color w:val="000000"/>
          <w:u w:color="000000"/>
        </w:rPr>
        <w:sectPr w:rsidR="00A77B3E">
          <w:footerReference w:type="default" r:id="rId29"/>
          <w:endnotePr>
            <w:numFmt w:val="decimal"/>
          </w:endnotePr>
          <w:pgSz w:w="11906" w:h="16838"/>
          <w:pgMar w:top="992" w:right="1020" w:bottom="992" w:left="1020" w:header="708" w:footer="708" w:gutter="0"/>
          <w:pgNumType w:start="1"/>
          <w:cols w:space="708"/>
          <w:docGrid w:linePitch="360"/>
        </w:sectPr>
      </w:pPr>
    </w:p>
    <w:p w14:paraId="53345FE1" w14:textId="77777777" w:rsidR="00A77B3E" w:rsidRDefault="00000000">
      <w:pPr>
        <w:keepNext/>
        <w:spacing w:before="120" w:after="120" w:line="360" w:lineRule="auto"/>
        <w:ind w:left="5229"/>
        <w:jc w:val="left"/>
        <w:rPr>
          <w:color w:val="000000"/>
          <w:u w:color="000000"/>
        </w:rPr>
      </w:pPr>
      <w:r>
        <w:rPr>
          <w:color w:val="000000"/>
          <w:u w:color="000000"/>
        </w:rPr>
        <w:lastRenderedPageBreak/>
        <w:fldChar w:fldCharType="begin"/>
      </w:r>
      <w:r>
        <w:rPr>
          <w:color w:val="000000"/>
          <w:u w:color="000000"/>
        </w:rPr>
        <w:fldChar w:fldCharType="separate"/>
      </w:r>
      <w:r>
        <w:rPr>
          <w:color w:val="000000"/>
          <w:u w:color="000000"/>
        </w:rPr>
        <w:fldChar w:fldCharType="end"/>
      </w:r>
      <w:r>
        <w:rPr>
          <w:color w:val="000000"/>
          <w:u w:color="000000"/>
        </w:rPr>
        <w:t>Załącznik Nr 2 do uchwały Nr ....................</w:t>
      </w:r>
      <w:r>
        <w:rPr>
          <w:color w:val="000000"/>
          <w:u w:color="000000"/>
        </w:rPr>
        <w:br/>
        <w:t>Rady Miasta Piotrkowa Trybunalskiego</w:t>
      </w:r>
      <w:r>
        <w:rPr>
          <w:color w:val="000000"/>
          <w:u w:color="000000"/>
        </w:rPr>
        <w:br/>
        <w:t>z dnia....................2024 r.</w:t>
      </w:r>
    </w:p>
    <w:p w14:paraId="1B4F0C56" w14:textId="77777777" w:rsidR="00A77B3E" w:rsidRDefault="00000000">
      <w:pPr>
        <w:keepNext/>
        <w:spacing w:after="480"/>
        <w:jc w:val="center"/>
        <w:rPr>
          <w:color w:val="000000"/>
          <w:u w:color="000000"/>
        </w:rPr>
      </w:pPr>
      <w:r>
        <w:rPr>
          <w:b/>
          <w:color w:val="000000"/>
          <w:u w:color="000000"/>
        </w:rPr>
        <w:t>ROZSTRZYGNIĘCIE DOTYCZĄCE SPOSOBU ROZPATRZENIA UWAG ZGŁOSZONYCH DO PROJEKTU PLANU MIEJSCOWEGO</w:t>
      </w:r>
    </w:p>
    <w:p w14:paraId="429911AA" w14:textId="77777777" w:rsidR="00A77B3E" w:rsidRDefault="00000000">
      <w:pPr>
        <w:keepLines/>
        <w:spacing w:before="120" w:after="120"/>
        <w:ind w:firstLine="227"/>
        <w:rPr>
          <w:color w:val="000000"/>
          <w:u w:color="000000"/>
        </w:rPr>
        <w:sectPr w:rsidR="00A77B3E">
          <w:footerReference w:type="default" r:id="rId30"/>
          <w:endnotePr>
            <w:numFmt w:val="decimal"/>
          </w:endnotePr>
          <w:pgSz w:w="11906" w:h="16838"/>
          <w:pgMar w:top="992" w:right="1020" w:bottom="992" w:left="1020" w:header="708" w:footer="708" w:gutter="0"/>
          <w:pgNumType w:start="1"/>
          <w:cols w:space="708"/>
          <w:docGrid w:linePitch="360"/>
        </w:sectPr>
      </w:pPr>
      <w:r>
        <w:rPr>
          <w:color w:val="000000"/>
          <w:u w:color="000000"/>
        </w:rPr>
        <w:t>Na podstawie art. 20 ust. 1. ustawy dnia 27 marca 2003 r. o planowaniu i zagospodarowaniu przestrzennym (tj. Dz. U. z 2024 r. poz. 1130) w związku z art. 67 ust. 3 ustawy z dnia 7 lipca 2023 r. o zmianie ustawy o planowaniu i zagospodarowaniu przestrzennym oraz niektórych innych ustaw (Dz. U. z 2023 r. poz 1688) Rada Miasta Piotrkowa Trybunalskiego stwierdza, że w ustawowych terminach po wyłożeniu do publicznego wglądu projektu miejscowego planu zagospodarowania przestrzennego w rejonie ulic: Łódzkiej i Sadowej w Piotrkowie Trybunalskim, nie wniesiono uwag do projektu planu miejscowego.</w:t>
      </w:r>
    </w:p>
    <w:p w14:paraId="0547791C" w14:textId="77777777" w:rsidR="00A77B3E" w:rsidRDefault="00000000">
      <w:pPr>
        <w:keepNext/>
        <w:spacing w:before="120" w:after="120" w:line="360" w:lineRule="auto"/>
        <w:ind w:left="5229"/>
        <w:jc w:val="left"/>
        <w:rPr>
          <w:color w:val="000000"/>
          <w:u w:color="000000"/>
        </w:rPr>
      </w:pPr>
      <w:r>
        <w:rPr>
          <w:color w:val="000000"/>
          <w:u w:color="000000"/>
        </w:rPr>
        <w:lastRenderedPageBreak/>
        <w:fldChar w:fldCharType="begin"/>
      </w:r>
      <w:r>
        <w:rPr>
          <w:color w:val="000000"/>
          <w:u w:color="000000"/>
        </w:rPr>
        <w:fldChar w:fldCharType="separate"/>
      </w:r>
      <w:r>
        <w:rPr>
          <w:color w:val="000000"/>
          <w:u w:color="000000"/>
        </w:rPr>
        <w:fldChar w:fldCharType="end"/>
      </w:r>
      <w:r>
        <w:rPr>
          <w:color w:val="000000"/>
          <w:u w:color="000000"/>
        </w:rPr>
        <w:t>Załącznik Nr 3 do uchwały Nr ....................</w:t>
      </w:r>
      <w:r>
        <w:rPr>
          <w:color w:val="000000"/>
          <w:u w:color="000000"/>
        </w:rPr>
        <w:br/>
        <w:t>Rady Miasta Piotrkowa Trybunalskiego</w:t>
      </w:r>
      <w:r>
        <w:rPr>
          <w:color w:val="000000"/>
          <w:u w:color="000000"/>
        </w:rPr>
        <w:br/>
        <w:t>z dnia....................2024 r.</w:t>
      </w:r>
    </w:p>
    <w:p w14:paraId="21FDCC30" w14:textId="77777777" w:rsidR="00A77B3E" w:rsidRDefault="00000000">
      <w:pPr>
        <w:keepNext/>
        <w:spacing w:after="480"/>
        <w:jc w:val="center"/>
        <w:rPr>
          <w:color w:val="000000"/>
          <w:u w:color="000000"/>
        </w:rPr>
      </w:pPr>
      <w:r>
        <w:rPr>
          <w:b/>
          <w:color w:val="000000"/>
          <w:u w:color="000000"/>
        </w:rPr>
        <w:t>ROZSTRZYGNIĘCIE DOTYCZĄCE SPOSOBU REALIZACJI ZAPISANYCH</w:t>
      </w:r>
      <w:r>
        <w:rPr>
          <w:b/>
          <w:color w:val="000000"/>
          <w:u w:color="000000"/>
        </w:rPr>
        <w:br/>
        <w:t>W PLANIE MIEJSCOWYM INWESTYCJI Z ZAKRESU INFRASTRUKTURY TECHNICZNEJ, KTÓRE NALEŻĄ DO ZADAŃ WŁASNYCH GMINY ORAZ ZASADACH ICH FINANSOWANIA, ZGODNIE Z PRZEPISAMI O FINANSACH PUBLICZNYCH</w:t>
      </w:r>
    </w:p>
    <w:p w14:paraId="208F1CF0" w14:textId="77777777" w:rsidR="00A77B3E" w:rsidRDefault="00000000">
      <w:pPr>
        <w:spacing w:before="120" w:after="120"/>
        <w:ind w:left="283" w:firstLine="227"/>
        <w:rPr>
          <w:color w:val="000000"/>
          <w:u w:color="000000"/>
        </w:rPr>
      </w:pPr>
      <w:r>
        <w:rPr>
          <w:color w:val="000000"/>
          <w:u w:color="000000"/>
        </w:rPr>
        <w:t>Zgodnie z opracowaną prognozą skutków finansowych dla projektu miejscowego planu zagospodarowania przestrzennego w rejonie ulic: Łódzkiej i Sadowej w Piotrkowie Trybunalskim, ustalenia projektowanego planu generują wydatki w zakresie realizacji drogi dojazdowej, ciągów pieszych oraz przebudowy sieci infrastruktury technicznej.</w:t>
      </w:r>
    </w:p>
    <w:p w14:paraId="2D55F250" w14:textId="77777777" w:rsidR="00A77B3E" w:rsidRDefault="00000000">
      <w:pPr>
        <w:spacing w:before="120" w:after="120"/>
        <w:ind w:left="283" w:firstLine="227"/>
        <w:rPr>
          <w:color w:val="000000"/>
          <w:u w:color="000000"/>
        </w:rPr>
        <w:sectPr w:rsidR="00A77B3E">
          <w:footerReference w:type="default" r:id="rId31"/>
          <w:endnotePr>
            <w:numFmt w:val="decimal"/>
          </w:endnotePr>
          <w:pgSz w:w="11906" w:h="16838"/>
          <w:pgMar w:top="992" w:right="1020" w:bottom="992" w:left="1020" w:header="708" w:footer="708" w:gutter="0"/>
          <w:pgNumType w:start="1"/>
          <w:cols w:space="708"/>
          <w:docGrid w:linePitch="360"/>
        </w:sectPr>
      </w:pPr>
      <w:r>
        <w:rPr>
          <w:color w:val="000000"/>
          <w:u w:color="000000"/>
        </w:rPr>
        <w:t>Finansowanie będzie odbywało się w oparciu o budżet gminy, z wykorzystaniem funduszy strukturalnych Unii Europejskiej oraz środków Funduszu Ochrony Środowiska, a także innych możliwych do pozyskania środków zewnętrznych.</w:t>
      </w:r>
    </w:p>
    <w:p w14:paraId="553DB9B5" w14:textId="6ECA45E3" w:rsidR="00A77B3E" w:rsidRDefault="00000000">
      <w:pPr>
        <w:keepNext/>
        <w:spacing w:before="280" w:after="280" w:line="360" w:lineRule="auto"/>
        <w:ind w:left="4535"/>
        <w:jc w:val="left"/>
        <w:rPr>
          <w:color w:val="000000"/>
          <w:u w:color="000000"/>
        </w:rPr>
      </w:pPr>
      <w:r>
        <w:rPr>
          <w:color w:val="000000"/>
          <w:u w:color="000000"/>
        </w:rPr>
        <w:lastRenderedPageBreak/>
        <w:fldChar w:fldCharType="begin"/>
      </w:r>
      <w:r>
        <w:rPr>
          <w:color w:val="000000"/>
          <w:u w:color="000000"/>
        </w:rPr>
        <w:fldChar w:fldCharType="separate"/>
      </w:r>
      <w:r>
        <w:rPr>
          <w:color w:val="000000"/>
          <w:u w:color="000000"/>
        </w:rPr>
        <w:fldChar w:fldCharType="end"/>
      </w:r>
      <w:r>
        <w:t>Załącznik Nr 4 do uchwały</w:t>
      </w:r>
      <w:r>
        <w:rPr>
          <w:color w:val="000000"/>
          <w:u w:color="000000"/>
        </w:rPr>
        <w:t xml:space="preserve"> Nr ....................</w:t>
      </w:r>
      <w:r>
        <w:rPr>
          <w:color w:val="000000"/>
          <w:u w:color="000000"/>
        </w:rPr>
        <w:br/>
      </w:r>
      <w:r>
        <w:t>Rady Miasta Piotrkowa Trybunalskiego</w:t>
      </w:r>
      <w:r>
        <w:rPr>
          <w:color w:val="000000"/>
          <w:u w:color="000000"/>
        </w:rPr>
        <w:br/>
      </w:r>
      <w:r>
        <w:t>z dnia .................... 2024 r.</w:t>
      </w:r>
      <w:r>
        <w:rPr>
          <w:color w:val="000000"/>
          <w:u w:color="000000"/>
        </w:rPr>
        <w:br/>
      </w:r>
      <w:hyperlink r:id="rId32" w:history="1">
        <w:r w:rsidR="00A77B3E">
          <w:rPr>
            <w:rStyle w:val="Hipercze"/>
            <w:color w:val="000000"/>
            <w:u w:val="none" w:color="000000"/>
          </w:rPr>
          <w:t>Zalacznik4.gml</w:t>
        </w:r>
      </w:hyperlink>
    </w:p>
    <w:p w14:paraId="3C0A3C01" w14:textId="77777777" w:rsidR="00A77B3E" w:rsidRDefault="00000000">
      <w:pPr>
        <w:keepNext/>
        <w:spacing w:after="480"/>
        <w:jc w:val="center"/>
        <w:rPr>
          <w:color w:val="000000"/>
          <w:u w:color="000000"/>
        </w:rPr>
        <w:sectPr w:rsidR="00A77B3E">
          <w:footerReference w:type="default" r:id="rId33"/>
          <w:endnotePr>
            <w:numFmt w:val="decimal"/>
          </w:endnotePr>
          <w:pgSz w:w="11906" w:h="16838"/>
          <w:pgMar w:top="992" w:right="1020" w:bottom="992" w:left="1020" w:header="708" w:footer="708" w:gutter="0"/>
          <w:pgNumType w:start="1"/>
          <w:cols w:space="708"/>
          <w:docGrid w:linePitch="360"/>
        </w:sectPr>
      </w:pPr>
      <w:r>
        <w:rPr>
          <w:b/>
          <w:color w:val="000000"/>
          <w:u w:color="000000"/>
        </w:rPr>
        <w:t>Dane przestrzenne, o których mowa w art. 67a ust. 3 i 5 ustawy z dnia 27 marca 2003 r. o planowaniu i zagospodarowaniu przestrzennym (j.t. Dz.U. z 2024 r. poz. 1130) ujawnione zostaną po kliknięciu w ikonę</w:t>
      </w:r>
    </w:p>
    <w:p w14:paraId="6FACD7BD" w14:textId="77777777" w:rsidR="003B66FE" w:rsidRDefault="003B66FE">
      <w:pPr>
        <w:rPr>
          <w:szCs w:val="20"/>
        </w:rPr>
      </w:pPr>
    </w:p>
    <w:p w14:paraId="54DD64A5" w14:textId="77777777" w:rsidR="003B66FE" w:rsidRDefault="00000000">
      <w:pPr>
        <w:jc w:val="center"/>
        <w:rPr>
          <w:szCs w:val="20"/>
        </w:rPr>
      </w:pPr>
      <w:r>
        <w:rPr>
          <w:b/>
          <w:szCs w:val="20"/>
        </w:rPr>
        <w:t>Uzasadnienie</w:t>
      </w:r>
    </w:p>
    <w:p w14:paraId="4C6AF8DD" w14:textId="77777777" w:rsidR="003B66FE" w:rsidRDefault="00000000">
      <w:pPr>
        <w:spacing w:before="120" w:after="120"/>
        <w:ind w:left="283" w:firstLine="227"/>
        <w:rPr>
          <w:szCs w:val="20"/>
        </w:rPr>
      </w:pPr>
      <w:r>
        <w:rPr>
          <w:szCs w:val="20"/>
        </w:rPr>
        <w:t>Projekt miejscowego planu zagospodarowania przestrzennego w rejonie ulic: Łódzkiej i Sadowej w Piotrkowie Trybunalskim, opracowany został na podstawie Uchwały Nr LI/651/22 Rady Miasta Piotrkowa Trybunalskiego z dnia 25 maja 2022 r. w sprawie przystąpienia do sporządzenia miejscowego planu zagospodarowania przestrzennego w rejonie ulic: Łódzkiej i Sadowej w Piotrkowie Trybunalskim.</w:t>
      </w:r>
    </w:p>
    <w:p w14:paraId="3EDA17D8" w14:textId="77777777" w:rsidR="003B66FE" w:rsidRDefault="00000000">
      <w:pPr>
        <w:spacing w:before="120" w:after="120"/>
        <w:ind w:left="283" w:firstLine="227"/>
        <w:rPr>
          <w:szCs w:val="20"/>
        </w:rPr>
      </w:pPr>
      <w:r>
        <w:rPr>
          <w:szCs w:val="20"/>
        </w:rPr>
        <w:t>Plan obejmie obszar o powierzchni ok. 7,34 ha położony w rejonie ulic Łódzkiej i Sadowej w Piotrkowie Trybunalskim.</w:t>
      </w:r>
    </w:p>
    <w:p w14:paraId="4FD17FFA" w14:textId="77777777" w:rsidR="003B66FE" w:rsidRDefault="00000000">
      <w:pPr>
        <w:spacing w:before="120" w:after="120"/>
        <w:ind w:left="283" w:firstLine="227"/>
        <w:rPr>
          <w:szCs w:val="20"/>
        </w:rPr>
      </w:pPr>
      <w:r>
        <w:rPr>
          <w:szCs w:val="20"/>
        </w:rPr>
        <w:t>Studium Uwarunkowań i Kierunków Zagospodarowania Przestrzennego Miasta Piotrkowa Trybunalskiego, przyjęte Uchwałą Nr XLIX/837/06 Rady Miasta Piotrkowa Trybunalskiego z dnia 29 marca 2006 roku z późniejszymi zmianami (Uchwała Nr XIV/297/11 Rady Miasta Piotrkowa Trybunalskiego z dnia 30.11.2011 r., Nr XXVII/359/16 z dnia 26.10.2016 r., Nr XLVII/566/17 z dnia 25.10.2017 r. i Nr XLIX/625/22 z dnia 30.03.2022 r.), na wskazanym obszarze ustala funkcje MW zgodnie z którą przedmiotowy obszar przeznacza się pod zabudowę mieszkaniową wielorodzinną.</w:t>
      </w:r>
    </w:p>
    <w:p w14:paraId="332770BD" w14:textId="77777777" w:rsidR="003B66FE" w:rsidRDefault="00000000">
      <w:pPr>
        <w:spacing w:before="120" w:after="120"/>
        <w:ind w:left="283" w:firstLine="227"/>
        <w:rPr>
          <w:szCs w:val="20"/>
        </w:rPr>
      </w:pPr>
      <w:r>
        <w:rPr>
          <w:szCs w:val="20"/>
        </w:rPr>
        <w:t>Głównym celem opracowania miejscowego planu zagospodarowania przestrzennego jest wprowadzenie funkcji zgodnych z ustaleniami Studium, jako wyraz realizacji przyjętej polityki. Omawiany obszar, atrakcyjny zwłaszcza dla lokalizacji obiektów mieszkaniowych wielorodzinnych i usługowych, wymaga wprowadzenia regulacji koordynujących proces zagospodarowania, ustalenia warunków scalenia i podziału czy określenia zasad obsługi komunikacyjnej. Ponadto miejscowy plan zagospodarowania przestrzennego zabezpieczy ten obszar przed niebezpieczeństwem niekontrolowanego rozlania się zabudowy realizowanej w oparciu o decyzje administracyjne. Miejscowy plan zagospodarowania przestrzennego pozwoli na racjonalne wykorzystanie tych terenów oraz określi jasne zasady zagospodarowania przy zachowaniu ładu przestrzennego.</w:t>
      </w:r>
    </w:p>
    <w:p w14:paraId="0B1CD11D" w14:textId="77777777" w:rsidR="003B66FE" w:rsidRDefault="00000000">
      <w:pPr>
        <w:spacing w:before="120" w:after="120"/>
        <w:ind w:left="283" w:firstLine="227"/>
        <w:rPr>
          <w:szCs w:val="20"/>
        </w:rPr>
      </w:pPr>
      <w:r>
        <w:rPr>
          <w:szCs w:val="20"/>
        </w:rPr>
        <w:t>Projekt planu sporządzony został według procedury planistycznej określonej w art. 17 ustawy z dnia 27 marca 2003 r. o planowaniu i zagospodarowaniu przestrzennym (Dz. U. z 2024 r. poz. 1130) oraz z uwzględnieniem stosowanych standardów obowiązujących przy zapisywaniu ustaleń projektu planu, wprowadzonych Rozporządzeniem Ministra Rozwoju i Technologii z dnia 17 grudnia 2021 roku w sprawie wymaganego zakresu projektu miejscowego planu zagospodarowania przestrzennego (Dz. U. z 2021 r. poz. 2404).</w:t>
      </w:r>
    </w:p>
    <w:p w14:paraId="6B8EFFD4" w14:textId="77777777" w:rsidR="003B66FE" w:rsidRDefault="00000000">
      <w:pPr>
        <w:spacing w:before="120" w:after="120"/>
        <w:ind w:left="283" w:firstLine="227"/>
        <w:rPr>
          <w:szCs w:val="20"/>
        </w:rPr>
      </w:pPr>
      <w:r>
        <w:rPr>
          <w:szCs w:val="20"/>
        </w:rPr>
        <w:t>Rada Miasta uchwalając plan miejscowy rozstrzyga jednocześnie o sposobie rozpatrzenia wniesionych uwag do projektu planu oraz o sposobie realizacji zapisanych w planie inwestycji z zakresu infrastruktury technicznej, które należą do zadań własnych gminy, oraz zasadach ich finansowania.</w:t>
      </w:r>
    </w:p>
    <w:p w14:paraId="67F94DFE" w14:textId="77777777" w:rsidR="003B66FE" w:rsidRDefault="00000000">
      <w:pPr>
        <w:spacing w:before="120" w:after="120"/>
        <w:ind w:left="283" w:firstLine="227"/>
        <w:rPr>
          <w:szCs w:val="20"/>
        </w:rPr>
      </w:pPr>
      <w:r>
        <w:rPr>
          <w:szCs w:val="20"/>
        </w:rPr>
        <w:t>Projekt planu podlegał wyłożeniu w dniach od 29 sierpnia 2024 r. do 19 września 2024 r., z terminem składania uwag do 4 października 2024 r. W wyznaczonym terminie nie wpłynęła żadna uwaga.</w:t>
      </w:r>
    </w:p>
    <w:sectPr w:rsidR="003B66FE">
      <w:footerReference w:type="default" r:id="rId34"/>
      <w:endnotePr>
        <w:numFmt w:val="decimal"/>
      </w:endnotePr>
      <w:pgSz w:w="11906" w:h="16838"/>
      <w:pgMar w:top="992" w:right="1020" w:bottom="992" w:left="102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08B060F" w14:textId="77777777" w:rsidR="00C81E73" w:rsidRDefault="00C81E73">
      <w:r>
        <w:separator/>
      </w:r>
    </w:p>
  </w:endnote>
  <w:endnote w:type="continuationSeparator" w:id="0">
    <w:p w14:paraId="642DFE1A" w14:textId="77777777" w:rsidR="00C81E73" w:rsidRDefault="00C81E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577"/>
      <w:gridCol w:w="3289"/>
    </w:tblGrid>
    <w:tr w:rsidR="003B66FE" w14:paraId="17C36EB5" w14:textId="77777777">
      <w:tc>
        <w:tcPr>
          <w:tcW w:w="6577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1402C44F" w14:textId="77777777" w:rsidR="003B66FE" w:rsidRDefault="00000000">
          <w:pPr>
            <w:jc w:val="left"/>
            <w:rPr>
              <w:sz w:val="18"/>
            </w:rPr>
          </w:pPr>
          <w:r>
            <w:rPr>
              <w:sz w:val="18"/>
            </w:rPr>
            <w:t>Id: 698BDCDB-B87C-4600-9B9B-EEE12BB603DA. Projekt</w:t>
          </w:r>
        </w:p>
      </w:tc>
      <w:tc>
        <w:tcPr>
          <w:tcW w:w="3289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4931D4F4" w14:textId="77777777" w:rsidR="003B66FE" w:rsidRDefault="00000000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 w:rsidR="00B77EC6">
            <w:rPr>
              <w:noProof/>
              <w:sz w:val="18"/>
            </w:rPr>
            <w:t>1</w:t>
          </w:r>
          <w:r>
            <w:rPr>
              <w:sz w:val="18"/>
            </w:rPr>
            <w:fldChar w:fldCharType="end"/>
          </w:r>
        </w:p>
      </w:tc>
    </w:tr>
  </w:tbl>
  <w:p w14:paraId="3F7AD5F8" w14:textId="77777777" w:rsidR="003B66FE" w:rsidRDefault="003B66FE">
    <w:pPr>
      <w:rPr>
        <w:sz w:val="18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577"/>
      <w:gridCol w:w="3289"/>
    </w:tblGrid>
    <w:tr w:rsidR="003B66FE" w14:paraId="0E385999" w14:textId="77777777">
      <w:tc>
        <w:tcPr>
          <w:tcW w:w="6577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58946C9C" w14:textId="77777777" w:rsidR="003B66FE" w:rsidRDefault="00000000">
          <w:pPr>
            <w:jc w:val="left"/>
            <w:rPr>
              <w:sz w:val="18"/>
            </w:rPr>
          </w:pPr>
          <w:r>
            <w:rPr>
              <w:sz w:val="18"/>
            </w:rPr>
            <w:t>Id: 698BDCDB-B87C-4600-9B9B-EEE12BB603DA. Projekt</w:t>
          </w:r>
        </w:p>
      </w:tc>
      <w:tc>
        <w:tcPr>
          <w:tcW w:w="3289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51178439" w14:textId="03F80D14" w:rsidR="003B66FE" w:rsidRDefault="00000000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 w:rsidR="00B77EC6">
            <w:rPr>
              <w:noProof/>
              <w:sz w:val="18"/>
            </w:rPr>
            <w:t>1</w:t>
          </w:r>
          <w:r>
            <w:rPr>
              <w:sz w:val="18"/>
            </w:rPr>
            <w:fldChar w:fldCharType="end"/>
          </w:r>
        </w:p>
      </w:tc>
    </w:tr>
  </w:tbl>
  <w:p w14:paraId="22D202B9" w14:textId="77777777" w:rsidR="003B66FE" w:rsidRDefault="003B66FE">
    <w:pPr>
      <w:rPr>
        <w:sz w:val="18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577"/>
      <w:gridCol w:w="3289"/>
    </w:tblGrid>
    <w:tr w:rsidR="003B66FE" w14:paraId="1952270C" w14:textId="77777777">
      <w:tc>
        <w:tcPr>
          <w:tcW w:w="6577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5C04B92C" w14:textId="77777777" w:rsidR="003B66FE" w:rsidRDefault="00000000">
          <w:pPr>
            <w:jc w:val="left"/>
            <w:rPr>
              <w:sz w:val="18"/>
            </w:rPr>
          </w:pPr>
          <w:r>
            <w:rPr>
              <w:sz w:val="18"/>
            </w:rPr>
            <w:t>Id: 698BDCDB-B87C-4600-9B9B-EEE12BB603DA. Projekt</w:t>
          </w:r>
        </w:p>
      </w:tc>
      <w:tc>
        <w:tcPr>
          <w:tcW w:w="3289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3C40B450" w14:textId="5E1A70D6" w:rsidR="003B66FE" w:rsidRDefault="00000000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 w:rsidR="00B77EC6">
            <w:rPr>
              <w:noProof/>
              <w:sz w:val="18"/>
            </w:rPr>
            <w:t>1</w:t>
          </w:r>
          <w:r>
            <w:rPr>
              <w:sz w:val="18"/>
            </w:rPr>
            <w:fldChar w:fldCharType="end"/>
          </w:r>
        </w:p>
      </w:tc>
    </w:tr>
  </w:tbl>
  <w:p w14:paraId="7FB0C3DC" w14:textId="77777777" w:rsidR="003B66FE" w:rsidRDefault="003B66FE">
    <w:pPr>
      <w:rPr>
        <w:sz w:val="18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577"/>
      <w:gridCol w:w="3289"/>
    </w:tblGrid>
    <w:tr w:rsidR="003B66FE" w14:paraId="6FE4DEA7" w14:textId="77777777">
      <w:tc>
        <w:tcPr>
          <w:tcW w:w="6577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0932D462" w14:textId="77777777" w:rsidR="003B66FE" w:rsidRDefault="00000000">
          <w:pPr>
            <w:jc w:val="left"/>
            <w:rPr>
              <w:sz w:val="18"/>
            </w:rPr>
          </w:pPr>
          <w:r>
            <w:rPr>
              <w:sz w:val="18"/>
            </w:rPr>
            <w:t>Id: 698BDCDB-B87C-4600-9B9B-EEE12BB603DA. Projekt</w:t>
          </w:r>
        </w:p>
      </w:tc>
      <w:tc>
        <w:tcPr>
          <w:tcW w:w="3289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7E0A6580" w14:textId="3767A0E7" w:rsidR="003B66FE" w:rsidRDefault="00000000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 w:rsidR="00B77EC6">
            <w:rPr>
              <w:noProof/>
              <w:sz w:val="18"/>
            </w:rPr>
            <w:t>1</w:t>
          </w:r>
          <w:r>
            <w:rPr>
              <w:sz w:val="18"/>
            </w:rPr>
            <w:fldChar w:fldCharType="end"/>
          </w:r>
        </w:p>
      </w:tc>
    </w:tr>
  </w:tbl>
  <w:p w14:paraId="3A3E8FF3" w14:textId="77777777" w:rsidR="003B66FE" w:rsidRDefault="003B66FE">
    <w:pPr>
      <w:rPr>
        <w:sz w:val="18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577"/>
      <w:gridCol w:w="3289"/>
    </w:tblGrid>
    <w:tr w:rsidR="003B66FE" w14:paraId="5D34BD87" w14:textId="77777777">
      <w:tc>
        <w:tcPr>
          <w:tcW w:w="6577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65E32109" w14:textId="77777777" w:rsidR="003B66FE" w:rsidRDefault="00000000">
          <w:pPr>
            <w:jc w:val="left"/>
            <w:rPr>
              <w:sz w:val="18"/>
            </w:rPr>
          </w:pPr>
          <w:r>
            <w:rPr>
              <w:sz w:val="18"/>
            </w:rPr>
            <w:t>Id: 698BDCDB-B87C-4600-9B9B-EEE12BB603DA. Projekt</w:t>
          </w:r>
        </w:p>
      </w:tc>
      <w:tc>
        <w:tcPr>
          <w:tcW w:w="3289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55774F94" w14:textId="1D948B9F" w:rsidR="003B66FE" w:rsidRDefault="00000000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 w:rsidR="00B77EC6">
            <w:rPr>
              <w:noProof/>
              <w:sz w:val="18"/>
            </w:rPr>
            <w:t>1</w:t>
          </w:r>
          <w:r>
            <w:rPr>
              <w:sz w:val="18"/>
            </w:rPr>
            <w:fldChar w:fldCharType="end"/>
          </w:r>
        </w:p>
      </w:tc>
    </w:tr>
  </w:tbl>
  <w:p w14:paraId="4B57B8F0" w14:textId="77777777" w:rsidR="003B66FE" w:rsidRDefault="003B66FE">
    <w:pPr>
      <w:rPr>
        <w:sz w:val="18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577"/>
      <w:gridCol w:w="3289"/>
    </w:tblGrid>
    <w:tr w:rsidR="003B66FE" w14:paraId="18279BCD" w14:textId="77777777">
      <w:tc>
        <w:tcPr>
          <w:tcW w:w="6577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6C5F3088" w14:textId="77777777" w:rsidR="003B66FE" w:rsidRDefault="00000000">
          <w:pPr>
            <w:jc w:val="left"/>
            <w:rPr>
              <w:sz w:val="18"/>
            </w:rPr>
          </w:pPr>
          <w:r>
            <w:rPr>
              <w:sz w:val="18"/>
            </w:rPr>
            <w:t>Id: 698BDCDB-B87C-4600-9B9B-EEE12BB603DA. Projekt</w:t>
          </w:r>
        </w:p>
      </w:tc>
      <w:tc>
        <w:tcPr>
          <w:tcW w:w="3289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1AD5D3B6" w14:textId="66BD1419" w:rsidR="003B66FE" w:rsidRDefault="00000000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 w:rsidR="00B77EC6">
            <w:rPr>
              <w:noProof/>
              <w:sz w:val="18"/>
            </w:rPr>
            <w:t>2</w:t>
          </w:r>
          <w:r>
            <w:rPr>
              <w:sz w:val="18"/>
            </w:rPr>
            <w:fldChar w:fldCharType="end"/>
          </w:r>
        </w:p>
      </w:tc>
    </w:tr>
  </w:tbl>
  <w:p w14:paraId="4290C12B" w14:textId="77777777" w:rsidR="003B66FE" w:rsidRDefault="003B66FE">
    <w:pPr>
      <w:rPr>
        <w:sz w:val="1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44845C6" w14:textId="77777777" w:rsidR="00C81E73" w:rsidRDefault="00C81E73">
      <w:r>
        <w:separator/>
      </w:r>
    </w:p>
  </w:footnote>
  <w:footnote w:type="continuationSeparator" w:id="0">
    <w:p w14:paraId="5C1274D9" w14:textId="77777777" w:rsidR="00C81E73" w:rsidRDefault="00C81E7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7B3E"/>
    <w:rsid w:val="000E5D22"/>
    <w:rsid w:val="003B66FE"/>
    <w:rsid w:val="00A77B3E"/>
    <w:rsid w:val="00B77EC6"/>
    <w:rsid w:val="00C81E73"/>
    <w:rsid w:val="00CA2A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79BA87C8"/>
  <w15:docId w15:val="{DE5883B4-38D3-4EE6-BA23-8D8DBB3599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pl-PL" w:eastAsia="pl-PL" w:bidi="pl-PL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ny">
    <w:name w:val="Normal"/>
    <w:qFormat/>
    <w:pPr>
      <w:jc w:val="both"/>
    </w:pPr>
    <w:rPr>
      <w:sz w:val="22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rsid w:val="00EF7B9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Zalacznik5FDCE53E-551B-404F-BB35-2170037D3A5E.jpg" TargetMode="External"/><Relationship Id="rId26" Type="http://schemas.openxmlformats.org/officeDocument/2006/relationships/image" Target="ZalacznikF91BD9CF-5F11-40B7-86A0-AE076298D888.jpg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8.jpeg"/><Relationship Id="rId34" Type="http://schemas.openxmlformats.org/officeDocument/2006/relationships/footer" Target="footer6.xml"/><Relationship Id="rId7" Type="http://schemas.openxmlformats.org/officeDocument/2006/relationships/image" Target="media/image1.jpeg"/><Relationship Id="rId12" Type="http://schemas.openxmlformats.org/officeDocument/2006/relationships/image" Target="Zalacznik3D1560CB-3782-4A91-A763-FD12481D7F10.jpg" TargetMode="External"/><Relationship Id="rId17" Type="http://schemas.openxmlformats.org/officeDocument/2006/relationships/image" Target="media/image6.jpeg"/><Relationship Id="rId25" Type="http://schemas.openxmlformats.org/officeDocument/2006/relationships/image" Target="media/image10.jpeg"/><Relationship Id="rId33" Type="http://schemas.openxmlformats.org/officeDocument/2006/relationships/footer" Target="footer5.xml"/><Relationship Id="rId2" Type="http://schemas.openxmlformats.org/officeDocument/2006/relationships/settings" Target="settings.xml"/><Relationship Id="rId16" Type="http://schemas.openxmlformats.org/officeDocument/2006/relationships/image" Target="Zalacznik755C332D-A0CF-4F96-9DEE-2406F303A31E.jpg" TargetMode="External"/><Relationship Id="rId20" Type="http://schemas.openxmlformats.org/officeDocument/2006/relationships/image" Target="Zalacznik22348714-C260-43BA-A7E4-BA6E338F3ABC.jpg" TargetMode="External"/><Relationship Id="rId29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11" Type="http://schemas.openxmlformats.org/officeDocument/2006/relationships/image" Target="media/image3.jpeg"/><Relationship Id="rId24" Type="http://schemas.openxmlformats.org/officeDocument/2006/relationships/image" Target="Zalacznik879F767C-0C16-4229-BC1F-9526D0EFCDEB.jpg" TargetMode="External"/><Relationship Id="rId32" Type="http://schemas.openxmlformats.org/officeDocument/2006/relationships/hyperlink" Target="file:///C:\Users\StebKa\AppData\Local\Temp\Legislator\504ABDDB-E681-4352-AC47-E0911988A99D\Zalacznik4.gml" TargetMode="External"/><Relationship Id="rId5" Type="http://schemas.openxmlformats.org/officeDocument/2006/relationships/endnotes" Target="endnotes.xml"/><Relationship Id="rId15" Type="http://schemas.openxmlformats.org/officeDocument/2006/relationships/image" Target="media/image5.jpeg"/><Relationship Id="rId23" Type="http://schemas.openxmlformats.org/officeDocument/2006/relationships/image" Target="media/image9.jpeg"/><Relationship Id="rId28" Type="http://schemas.openxmlformats.org/officeDocument/2006/relationships/image" Target="Zalacznik458FE72B-1564-40D8-AF3B-8796E0EF5676.jpg" TargetMode="External"/><Relationship Id="rId36" Type="http://schemas.openxmlformats.org/officeDocument/2006/relationships/theme" Target="theme/theme1.xml"/><Relationship Id="rId10" Type="http://schemas.openxmlformats.org/officeDocument/2006/relationships/image" Target="ZalacznikB665653F-706B-418D-8BE7-CB7A488B2BF7.jpg" TargetMode="External"/><Relationship Id="rId19" Type="http://schemas.openxmlformats.org/officeDocument/2006/relationships/image" Target="media/image7.jpeg"/><Relationship Id="rId31" Type="http://schemas.openxmlformats.org/officeDocument/2006/relationships/footer" Target="footer4.xml"/><Relationship Id="rId4" Type="http://schemas.openxmlformats.org/officeDocument/2006/relationships/footnotes" Target="footnotes.xml"/><Relationship Id="rId9" Type="http://schemas.openxmlformats.org/officeDocument/2006/relationships/image" Target="media/image2.jpeg"/><Relationship Id="rId14" Type="http://schemas.openxmlformats.org/officeDocument/2006/relationships/image" Target="Zalacznik3476DEF5-3152-403C-8CD0-C6402D32A896.jpg" TargetMode="External"/><Relationship Id="rId22" Type="http://schemas.openxmlformats.org/officeDocument/2006/relationships/image" Target="ZalacznikD789A208-547C-4075-B2A4-D141EFD08247.jpg" TargetMode="External"/><Relationship Id="rId27" Type="http://schemas.openxmlformats.org/officeDocument/2006/relationships/image" Target="media/image11.jpeg"/><Relationship Id="rId30" Type="http://schemas.openxmlformats.org/officeDocument/2006/relationships/footer" Target="footer3.xml"/><Relationship Id="rId35" Type="http://schemas.openxmlformats.org/officeDocument/2006/relationships/fontTable" Target="fontTable.xml"/><Relationship Id="rId8" Type="http://schemas.openxmlformats.org/officeDocument/2006/relationships/image" Target="Zalacznik5F23E171-8B39-4E08-ABFB-0793EEE5A908.jp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30</Pages>
  <Words>6414</Words>
  <Characters>38486</Characters>
  <Application>Microsoft Office Word</Application>
  <DocSecurity>0</DocSecurity>
  <Lines>320</Lines>
  <Paragraphs>89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Rada Miasta Piotrkowa Trybunalskiego</Company>
  <LinksUpToDate>false</LinksUpToDate>
  <CharactersWithSpaces>44811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Uchwała</dc:title>
  <dc:subject>w sprawie miejscowego planu zagospodarowania przestrzennego w^rejonie ulic: Łódzkiej i^Sadowej w^Piotrkowie Trybunalskim.</dc:subject>
  <dc:creator>StebKa</dc:creator>
  <cp:lastModifiedBy>StebKa</cp:lastModifiedBy>
  <cp:revision>2</cp:revision>
  <dcterms:created xsi:type="dcterms:W3CDTF">2024-10-14T08:37:00Z</dcterms:created>
  <dcterms:modified xsi:type="dcterms:W3CDTF">2024-10-14T08:37:00Z</dcterms:modified>
  <cp:category>Akt prawny</cp:category>
</cp:coreProperties>
</file>