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7B3E" w:rsidRDefault="00EC7227">
      <w:pPr>
        <w:jc w:val="center"/>
        <w:rPr>
          <w:rFonts w:ascii="Arial" w:eastAsia="Arial" w:hAnsi="Arial" w:cs="Arial"/>
          <w:b/>
          <w:caps/>
          <w:sz w:val="24"/>
        </w:rPr>
      </w:pPr>
      <w:r>
        <w:rPr>
          <w:rFonts w:ascii="Arial" w:eastAsia="Arial" w:hAnsi="Arial" w:cs="Arial"/>
          <w:b/>
          <w:caps/>
          <w:sz w:val="24"/>
        </w:rPr>
        <w:t>Uchwała Nr IV/62/24</w:t>
      </w:r>
      <w:r>
        <w:rPr>
          <w:rFonts w:ascii="Arial" w:eastAsia="Arial" w:hAnsi="Arial" w:cs="Arial"/>
          <w:b/>
          <w:caps/>
          <w:sz w:val="24"/>
        </w:rPr>
        <w:br/>
        <w:t>Rady Miasta Piotrkowa Trybunalskiego</w:t>
      </w:r>
    </w:p>
    <w:p w:rsidR="00A77B3E" w:rsidRDefault="00EC7227">
      <w:pPr>
        <w:spacing w:before="280" w:after="280"/>
        <w:jc w:val="center"/>
        <w:rPr>
          <w:rFonts w:ascii="Arial" w:eastAsia="Arial" w:hAnsi="Arial" w:cs="Arial"/>
          <w:b/>
          <w:caps/>
          <w:sz w:val="24"/>
        </w:rPr>
      </w:pPr>
      <w:r>
        <w:rPr>
          <w:rFonts w:ascii="Arial" w:eastAsia="Arial" w:hAnsi="Arial" w:cs="Arial"/>
          <w:sz w:val="24"/>
        </w:rPr>
        <w:t>z dnia 27 czerwca 2024 r.</w:t>
      </w:r>
    </w:p>
    <w:p w:rsidR="00A77B3E" w:rsidRDefault="00EC7227">
      <w:pPr>
        <w:keepNext/>
        <w:spacing w:after="480"/>
        <w:jc w:val="center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b/>
          <w:sz w:val="24"/>
        </w:rPr>
        <w:t>w sprawie zmiany uchwały w sprawie przyjęcia Gminnego Programu Rewitalizacji dla Miasta Piotrków Trybunalski na lata 2024-2030</w:t>
      </w:r>
    </w:p>
    <w:p w:rsidR="00A77B3E" w:rsidRDefault="00EC7227">
      <w:pPr>
        <w:keepLines/>
        <w:spacing w:before="120" w:after="120"/>
        <w:ind w:firstLine="227"/>
      </w:pPr>
      <w:r>
        <w:t>Na podstawie art. 18 ust. 2 pkt 15 ustawy o z</w:t>
      </w:r>
      <w:r>
        <w:t xml:space="preserve"> dnia 8 marca 1990 r. o samorządzie gminnym (Dz. U. z 2024 r. poz. 609, poz. 721) w związku z art. 14 ust.1 oraz art. 23 ustawy z dnia 15 października 2015 r. o rewitalizacji (Dz. U. z 2024 r. poz. 278) uchwala się, co następuje:</w:t>
      </w:r>
    </w:p>
    <w:p w:rsidR="00A77B3E" w:rsidRDefault="00EC7227">
      <w:pPr>
        <w:keepLines/>
        <w:ind w:firstLine="340"/>
      </w:pPr>
      <w:r>
        <w:rPr>
          <w:b/>
        </w:rPr>
        <w:t>§ 1. </w:t>
      </w:r>
      <w:r>
        <w:t>Zmienia się Gminny Pr</w:t>
      </w:r>
      <w:r>
        <w:t>ogram Rewitalizacji dla Miasta Piotrków Trybunalski na lata 2024-2030, stanowiący załącznik do uchwały Nr LXXII/882/24 Rady Miasta Piotrkowa Trybunalskiego z dnia 24 stycznia 2024 r. w sprawie przyjęcia Gminnego Programu Rewitalizacji dla Miasta Piotrków T</w:t>
      </w:r>
      <w:r>
        <w:t>rybunalski na lata 2024-2030, który otrzymuje brzmienie, jak w załączniku do niniejszej uchwały.</w:t>
      </w:r>
    </w:p>
    <w:p w:rsidR="00A77B3E" w:rsidRDefault="00EC7227">
      <w:pPr>
        <w:keepNext/>
        <w:keepLines/>
        <w:ind w:firstLine="340"/>
      </w:pPr>
      <w:r>
        <w:rPr>
          <w:b/>
        </w:rPr>
        <w:t>§ 2. </w:t>
      </w:r>
      <w:r>
        <w:t>Uchwała wchodzi w życie z dniem podjęcia.</w:t>
      </w:r>
    </w:p>
    <w:p w:rsidR="00A77B3E" w:rsidRDefault="00A77B3E">
      <w:pPr>
        <w:keepNext/>
        <w:keepLines/>
        <w:ind w:firstLine="340"/>
      </w:pPr>
    </w:p>
    <w:p w:rsidR="00A77B3E" w:rsidRDefault="00EC7227">
      <w:pPr>
        <w:keepNext/>
      </w:pPr>
      <w:r>
        <w:rPr>
          <w:color w:val="000000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03"/>
        <w:gridCol w:w="5103"/>
      </w:tblGrid>
      <w:tr w:rsidR="00A916A4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916A4" w:rsidRDefault="00A916A4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916A4" w:rsidRDefault="00EC7227">
            <w:pPr>
              <w:keepNext/>
              <w:keepLines/>
              <w:spacing w:before="560" w:after="560"/>
              <w:ind w:left="1134" w:right="1134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Przewodniczący Rady Miasta</w:t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b/>
              </w:rPr>
              <w:t>Mariusz Staszek</w:t>
            </w:r>
          </w:p>
        </w:tc>
      </w:tr>
    </w:tbl>
    <w:p w:rsidR="00A77B3E" w:rsidRDefault="00A77B3E">
      <w:pPr>
        <w:keepNext/>
        <w:sectPr w:rsidR="00A77B3E">
          <w:footerReference w:type="default" r:id="rId6"/>
          <w:endnotePr>
            <w:numFmt w:val="decimal"/>
          </w:endnotePr>
          <w:pgSz w:w="11906" w:h="16838"/>
          <w:pgMar w:top="850" w:right="850" w:bottom="1417" w:left="850" w:header="708" w:footer="708" w:gutter="0"/>
          <w:cols w:space="708"/>
          <w:docGrid w:linePitch="360"/>
        </w:sectPr>
      </w:pPr>
    </w:p>
    <w:p w:rsidR="00A77B3E" w:rsidRDefault="00EC7227">
      <w:pPr>
        <w:keepNext/>
        <w:spacing w:before="120" w:after="120" w:line="360" w:lineRule="auto"/>
        <w:ind w:left="5892"/>
        <w:jc w:val="left"/>
      </w:pPr>
      <w:r>
        <w:lastRenderedPageBreak/>
        <w:fldChar w:fldCharType="begin"/>
      </w:r>
      <w:r>
        <w:fldChar w:fldCharType="end"/>
      </w:r>
      <w:r>
        <w:t>Załącznik do uchwały Nr IV/62/24</w:t>
      </w:r>
      <w:r>
        <w:br/>
        <w:t>Rady Miasta Piotrkowa Trybunalskiego</w:t>
      </w:r>
      <w:r>
        <w:br/>
        <w:t>z dnia 27 czerwca 2024 r.</w:t>
      </w:r>
    </w:p>
    <w:p w:rsidR="00A77B3E" w:rsidRDefault="00EC7227">
      <w:pPr>
        <w:keepNext/>
        <w:spacing w:after="480"/>
        <w:jc w:val="center"/>
      </w:pPr>
      <w:r>
        <w:rPr>
          <w:b/>
        </w:rPr>
        <w:t xml:space="preserve">Gminny Program Rewitalizacji dla Miasta Piotrków Trybunalski na </w:t>
      </w:r>
      <w:r>
        <w:rPr>
          <w:b/>
        </w:rPr>
        <w:t>lata 2024-2030</w:t>
      </w:r>
    </w:p>
    <w:p w:rsidR="00A77B3E" w:rsidRDefault="00EC7227">
      <w:pPr>
        <w:spacing w:before="120" w:after="120"/>
        <w:ind w:left="283" w:firstLine="227"/>
        <w:jc w:val="center"/>
      </w:pPr>
      <w:r>
        <w:rPr>
          <w:noProof/>
          <w:lang w:bidi="ar-SA"/>
        </w:rPr>
        <w:drawing>
          <wp:inline distT="0" distB="0" distL="0" distR="0">
            <wp:extent cx="5749137" cy="3717115"/>
            <wp:effectExtent l="0" t="0" r="0" b="0"/>
            <wp:docPr id="100001" name="Obraz 10000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 r:link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9137" cy="37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jc w:val="center"/>
        <w:rPr>
          <w:b/>
        </w:rPr>
      </w:pPr>
      <w:r>
        <w:rPr>
          <w:b/>
        </w:rPr>
        <w:t>GMINNY PROGRAM REWITALIZACJI</w:t>
      </w:r>
      <w:r>
        <w:rPr>
          <w:b/>
        </w:rPr>
        <w:br/>
        <w:t>DLA MIASTA PIOTRKÓW TRYBUNALSKI NA LATA 2024-2030</w:t>
      </w:r>
    </w:p>
    <w:p w:rsidR="00A77B3E" w:rsidRDefault="00EC7227">
      <w:pPr>
        <w:keepLines/>
        <w:spacing w:before="120" w:after="120"/>
        <w:ind w:left="227" w:hanging="113"/>
      </w:pPr>
      <w:r>
        <w:t>- 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</w:rPr>
        <w:t>Dokument przygotowany przez:-</w:t>
      </w:r>
    </w:p>
    <w:p w:rsidR="00A77B3E" w:rsidRDefault="00EC7227">
      <w:pPr>
        <w:spacing w:before="120" w:after="120"/>
        <w:ind w:left="510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1459291" cy="814875"/>
            <wp:effectExtent l="0" t="0" r="0" b="0"/>
            <wp:docPr id="100003" name="Obraz 10000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9" r:link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59291" cy="8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510" w:firstLine="227"/>
        <w:jc w:val="left"/>
        <w:rPr>
          <w:color w:val="000000"/>
          <w:u w:color="000000"/>
        </w:rPr>
      </w:pPr>
      <w:r>
        <w:rPr>
          <w:b/>
          <w:color w:val="000000"/>
          <w:u w:color="000000"/>
        </w:rPr>
        <w:t>Pomorska Grupa Konsultingowa SA w Bydgoszcz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Spis treści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ab/>
        <w:t>Wstęp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ab/>
        <w:t>Definicje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7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ab/>
        <w:t xml:space="preserve">Obszar </w:t>
      </w:r>
      <w:r>
        <w:rPr>
          <w:color w:val="000000"/>
          <w:u w:color="000000"/>
        </w:rPr>
        <w:t>zdegradowany i obszar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9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ab/>
        <w:t>Powiązania Programu z innymi dokumentami strategicznymi i planistycznymi</w:t>
      </w:r>
      <w:r>
        <w:rPr>
          <w:color w:val="000000"/>
          <w:u w:color="000000"/>
        </w:rPr>
        <w:tab/>
        <w:t>11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4.1.</w:t>
      </w:r>
      <w:r>
        <w:rPr>
          <w:color w:val="000000"/>
          <w:u w:color="000000"/>
        </w:rPr>
        <w:tab/>
        <w:t>Plan Zagospodarowania Przestrzennego Województwa Łódzkiego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4.2.</w:t>
      </w:r>
      <w:r>
        <w:rPr>
          <w:color w:val="000000"/>
          <w:u w:color="000000"/>
        </w:rPr>
        <w:tab/>
        <w:t>Strategia rozwoju województwa łódzkiego 2030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4.3.</w:t>
      </w:r>
      <w:r>
        <w:rPr>
          <w:color w:val="000000"/>
          <w:u w:color="000000"/>
        </w:rPr>
        <w:tab/>
        <w:t>Pr</w:t>
      </w:r>
      <w:r>
        <w:rPr>
          <w:color w:val="000000"/>
          <w:u w:color="000000"/>
        </w:rPr>
        <w:t>ogram Rewitalizacji dla miasta Piotrkowa Trybunalskiego do roku 2023.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4.4.</w:t>
      </w:r>
      <w:r>
        <w:rPr>
          <w:color w:val="000000"/>
          <w:u w:color="000000"/>
        </w:rPr>
        <w:tab/>
        <w:t>Strategia rozwoju miasta Piotrków Trybunalski 2030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4.5.</w:t>
      </w:r>
      <w:r>
        <w:rPr>
          <w:color w:val="000000"/>
          <w:u w:color="000000"/>
        </w:rPr>
        <w:tab/>
        <w:t>Studium uwarunkowań i kierunków zagospodarowania przestrzennego miasta</w:t>
      </w:r>
      <w:r>
        <w:rPr>
          <w:color w:val="000000"/>
          <w:u w:color="000000"/>
        </w:rPr>
        <w:tab/>
        <w:t>16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4.6.</w:t>
      </w:r>
      <w:r>
        <w:rPr>
          <w:color w:val="000000"/>
          <w:u w:color="000000"/>
        </w:rPr>
        <w:tab/>
        <w:t xml:space="preserve">Miejscowe plany zagospodarowania </w:t>
      </w:r>
      <w:r>
        <w:rPr>
          <w:color w:val="000000"/>
          <w:u w:color="000000"/>
        </w:rPr>
        <w:t>przestrzennego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4.7.</w:t>
      </w:r>
      <w:r>
        <w:rPr>
          <w:color w:val="000000"/>
          <w:u w:color="000000"/>
        </w:rPr>
        <w:tab/>
        <w:t>Gminny program opieki nad zabytkami miasta Piotrkowa Trybunalskiego na lata 2020–2023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4.8.</w:t>
      </w:r>
      <w:r>
        <w:rPr>
          <w:color w:val="000000"/>
          <w:u w:color="000000"/>
        </w:rPr>
        <w:tab/>
        <w:t>Program gospodarowania mieszkaniowym zasobem gminy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4.9.</w:t>
      </w:r>
      <w:r>
        <w:rPr>
          <w:color w:val="000000"/>
          <w:u w:color="000000"/>
        </w:rPr>
        <w:tab/>
        <w:t>Plan Gospodarki Niskoemisyjnej dla miasta Piotrkowa Trybunalsk</w:t>
      </w:r>
      <w:r>
        <w:rPr>
          <w:color w:val="000000"/>
          <w:u w:color="000000"/>
        </w:rPr>
        <w:t>iego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4.10.</w:t>
      </w:r>
      <w:r>
        <w:rPr>
          <w:color w:val="000000"/>
          <w:u w:color="000000"/>
        </w:rPr>
        <w:tab/>
        <w:t>Program ochrony środowiska dla miasta Piotrkowa Trybunalskiego na lata 2021- 2024</w:t>
      </w:r>
      <w:r>
        <w:rPr>
          <w:color w:val="000000"/>
          <w:u w:color="000000"/>
        </w:rPr>
        <w:br/>
        <w:t>z perspektywą do roku 2028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4.11.</w:t>
      </w:r>
      <w:r>
        <w:rPr>
          <w:color w:val="000000"/>
          <w:u w:color="000000"/>
        </w:rPr>
        <w:tab/>
        <w:t>Strategia rozwiązywania problemów społecznych dla miasta Piotrkowa Trybunalskiego na lata 2021–2030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20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4.1</w:t>
      </w:r>
      <w:r>
        <w:rPr>
          <w:color w:val="000000"/>
          <w:u w:color="000000"/>
        </w:rPr>
        <w:t>2.</w:t>
      </w:r>
      <w:r>
        <w:rPr>
          <w:color w:val="000000"/>
          <w:u w:color="000000"/>
        </w:rPr>
        <w:tab/>
        <w:t>Powiatowy program działań na rzecz osób niepełnosprawnych miasta Piotrkowa Trybunalskiego na lata 2021–2030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21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4.13.</w:t>
      </w:r>
      <w:r>
        <w:rPr>
          <w:color w:val="000000"/>
          <w:u w:color="000000"/>
        </w:rPr>
        <w:tab/>
        <w:t>Program przeciwdziałania przemocy w rodzinie oraz ochrony ofiar przemocy w rodzinie dla miasta Piotrków Trybunalski na lata 2021–</w:t>
      </w:r>
      <w:r>
        <w:rPr>
          <w:color w:val="000000"/>
          <w:u w:color="000000"/>
        </w:rPr>
        <w:t>2030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21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ab/>
        <w:t>Szczegółowa analiza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5.1.</w:t>
      </w:r>
      <w:r>
        <w:rPr>
          <w:color w:val="000000"/>
          <w:u w:color="000000"/>
        </w:rPr>
        <w:tab/>
        <w:t>Analiza wskaźnikowa sfery społecznej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5.2.</w:t>
      </w:r>
      <w:r>
        <w:rPr>
          <w:color w:val="000000"/>
          <w:u w:color="000000"/>
        </w:rPr>
        <w:tab/>
        <w:t>Analiza wskaźnikowa pozostałych sfer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5.3.</w:t>
      </w:r>
      <w:r>
        <w:rPr>
          <w:color w:val="000000"/>
          <w:u w:color="000000"/>
        </w:rPr>
        <w:tab/>
        <w:t>Inne metody badawcze wykorzystane w diagnozi</w:t>
      </w:r>
      <w:r>
        <w:rPr>
          <w:color w:val="000000"/>
          <w:u w:color="000000"/>
        </w:rPr>
        <w:t>e szczegółowej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41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5.4.</w:t>
      </w:r>
      <w:r>
        <w:rPr>
          <w:color w:val="000000"/>
          <w:u w:color="000000"/>
        </w:rPr>
        <w:tab/>
        <w:t>Podsumowanie diagnozy szczegółowej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5.5.</w:t>
      </w:r>
      <w:r>
        <w:rPr>
          <w:color w:val="000000"/>
          <w:u w:color="000000"/>
        </w:rPr>
        <w:tab/>
        <w:t>Zidentyfikowane potencjały lokalne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61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ab/>
        <w:t>Opis wizji stanu obszaru po przeprowadzeniu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62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7</w:t>
      </w:r>
      <w:r>
        <w:t>. </w:t>
      </w:r>
      <w:r>
        <w:rPr>
          <w:color w:val="000000"/>
          <w:u w:color="000000"/>
        </w:rPr>
        <w:tab/>
        <w:t>Cele i kierunki działań rewitalizacyjnych służących eliminacji lub ograniczeniu negatywnych zjawisk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7.1.</w:t>
      </w:r>
      <w:r>
        <w:rPr>
          <w:color w:val="000000"/>
          <w:u w:color="000000"/>
        </w:rPr>
        <w:tab/>
        <w:t>Cel główny Gminnego Programu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7.2.</w:t>
      </w:r>
      <w:r>
        <w:rPr>
          <w:color w:val="000000"/>
          <w:u w:color="000000"/>
        </w:rPr>
        <w:tab/>
        <w:t>Cele strategiczne i kierunki działań rewitalizacyjnych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64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color w:val="000000"/>
          <w:u w:color="000000"/>
        </w:rPr>
        <w:tab/>
        <w:t>Opis przedsięwz</w:t>
      </w:r>
      <w:r>
        <w:rPr>
          <w:color w:val="000000"/>
          <w:u w:color="000000"/>
        </w:rPr>
        <w:t>ięć rewitalizacyjnych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8.1.</w:t>
      </w:r>
      <w:r>
        <w:rPr>
          <w:color w:val="000000"/>
          <w:u w:color="000000"/>
        </w:rPr>
        <w:tab/>
        <w:t>Lista planowanych podstawowych przedsięwzięć rewitalizacyjnych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8.2.</w:t>
      </w:r>
      <w:r>
        <w:rPr>
          <w:color w:val="000000"/>
          <w:u w:color="000000"/>
        </w:rPr>
        <w:tab/>
        <w:t>Charakterystyka pozostałych dopuszczalnych przedsięwzięć rewitalizacyjnych</w:t>
      </w:r>
      <w:r>
        <w:rPr>
          <w:color w:val="000000"/>
          <w:u w:color="000000"/>
        </w:rPr>
        <w:tab/>
        <w:t>98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8.3.</w:t>
      </w:r>
      <w:r>
        <w:rPr>
          <w:color w:val="000000"/>
          <w:u w:color="000000"/>
        </w:rPr>
        <w:tab/>
        <w:t>Inne zagadnienia dotyczące realizacji przedsięwzięć rewitalizacy</w:t>
      </w:r>
      <w:r>
        <w:rPr>
          <w:color w:val="000000"/>
          <w:u w:color="000000"/>
        </w:rPr>
        <w:t>jnych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102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9. </w:t>
      </w:r>
      <w:r>
        <w:rPr>
          <w:color w:val="000000"/>
          <w:u w:color="000000"/>
        </w:rPr>
        <w:tab/>
        <w:t>Mechanizmy zapewnienia komplementarności przedsięwzięć i kierunków działań rewitalizacyjnych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9.1.</w:t>
      </w:r>
      <w:r>
        <w:rPr>
          <w:color w:val="000000"/>
          <w:u w:color="000000"/>
        </w:rPr>
        <w:tab/>
        <w:t>Mechanizmy integrowania kierunków działań oraz przedsięwzięć rewitalizacyjnych</w:t>
      </w:r>
      <w:r>
        <w:rPr>
          <w:color w:val="000000"/>
          <w:u w:color="000000"/>
        </w:rPr>
        <w:tab/>
        <w:t>103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9.2.</w:t>
      </w:r>
      <w:r>
        <w:rPr>
          <w:color w:val="000000"/>
          <w:u w:color="000000"/>
        </w:rPr>
        <w:tab/>
        <w:t>Komplementarność przestrzenna między przed</w:t>
      </w:r>
      <w:r>
        <w:rPr>
          <w:color w:val="000000"/>
          <w:u w:color="000000"/>
        </w:rPr>
        <w:t>sięwzięciami realizowanymi na obszarze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9.3.</w:t>
      </w:r>
      <w:r>
        <w:rPr>
          <w:color w:val="000000"/>
          <w:u w:color="000000"/>
        </w:rPr>
        <w:tab/>
        <w:t>Komplementarność problemowa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9.4.</w:t>
      </w:r>
      <w:r>
        <w:rPr>
          <w:color w:val="000000"/>
          <w:u w:color="000000"/>
        </w:rPr>
        <w:tab/>
        <w:t>Komplementarność proceduralno-instytucjonalna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9.5.</w:t>
      </w:r>
      <w:r>
        <w:rPr>
          <w:color w:val="000000"/>
          <w:u w:color="000000"/>
        </w:rPr>
        <w:tab/>
        <w:t>Komplementarność międzyokresowa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9.6.</w:t>
      </w:r>
      <w:r>
        <w:rPr>
          <w:color w:val="000000"/>
          <w:u w:color="000000"/>
        </w:rPr>
        <w:tab/>
        <w:t xml:space="preserve">Komplementarność źródeł </w:t>
      </w:r>
      <w:r>
        <w:rPr>
          <w:color w:val="000000"/>
          <w:u w:color="000000"/>
        </w:rPr>
        <w:t>finansowania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9.7.</w:t>
      </w:r>
      <w:r>
        <w:rPr>
          <w:color w:val="000000"/>
          <w:u w:color="000000"/>
        </w:rPr>
        <w:tab/>
        <w:t>Mechanizmy integracji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109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10. </w:t>
      </w:r>
      <w:r>
        <w:rPr>
          <w:color w:val="000000"/>
          <w:u w:color="000000"/>
        </w:rPr>
        <w:tab/>
        <w:t>Szacunkowe ramy finansowe Gminnego Programu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110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10.1.</w:t>
      </w:r>
      <w:r>
        <w:rPr>
          <w:color w:val="000000"/>
          <w:u w:color="000000"/>
        </w:rPr>
        <w:tab/>
        <w:t>Potencjalne źródła finansowania zewnętrznego przedsięwzięć rewitalizacyjnych</w:t>
      </w:r>
      <w:r>
        <w:rPr>
          <w:color w:val="000000"/>
          <w:u w:color="000000"/>
        </w:rPr>
        <w:tab/>
        <w:t>110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lastRenderedPageBreak/>
        <w:t>11. </w:t>
      </w:r>
      <w:r>
        <w:rPr>
          <w:color w:val="000000"/>
          <w:u w:color="000000"/>
        </w:rPr>
        <w:tab/>
        <w:t>System zarządzania Gminnym Program</w:t>
      </w:r>
      <w:r>
        <w:rPr>
          <w:color w:val="000000"/>
          <w:u w:color="000000"/>
        </w:rPr>
        <w:t>em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11.1.</w:t>
      </w:r>
      <w:r>
        <w:rPr>
          <w:color w:val="000000"/>
          <w:u w:color="000000"/>
        </w:rPr>
        <w:tab/>
        <w:t>Opis struktury zarządzania Programem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11.1.1.</w:t>
      </w:r>
      <w:r>
        <w:rPr>
          <w:color w:val="000000"/>
          <w:u w:color="000000"/>
        </w:rPr>
        <w:tab/>
        <w:t>Identyfikacja i sposób ograniczenia ryzyka podczas wdrażania GPR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11.2.</w:t>
      </w:r>
      <w:r>
        <w:rPr>
          <w:color w:val="000000"/>
          <w:u w:color="000000"/>
        </w:rPr>
        <w:tab/>
        <w:t>Koszty zarządzania Programem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11.3.</w:t>
      </w:r>
      <w:r>
        <w:rPr>
          <w:color w:val="000000"/>
          <w:u w:color="000000"/>
        </w:rPr>
        <w:tab/>
        <w:t>Ramowy harmonogram realizacji Programu.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116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</w:t>
      </w:r>
      <w:r>
        <w:t>2. </w:t>
      </w:r>
      <w:r>
        <w:rPr>
          <w:color w:val="000000"/>
          <w:u w:color="000000"/>
        </w:rPr>
        <w:tab/>
        <w:t>System monitorowania i oceny Gminnego Programu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12.1.</w:t>
      </w:r>
      <w:r>
        <w:rPr>
          <w:color w:val="000000"/>
          <w:u w:color="000000"/>
        </w:rPr>
        <w:tab/>
        <w:t>Monitoring GPR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12.2.</w:t>
      </w:r>
      <w:r>
        <w:rPr>
          <w:color w:val="000000"/>
          <w:u w:color="000000"/>
        </w:rPr>
        <w:tab/>
        <w:t>Aktualizacja GPR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118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13. </w:t>
      </w:r>
      <w:r>
        <w:rPr>
          <w:color w:val="000000"/>
          <w:u w:color="000000"/>
        </w:rPr>
        <w:tab/>
        <w:t>Mechanizm włączenia interesariuszy w proces opracowania GPR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13.1.</w:t>
      </w:r>
      <w:r>
        <w:rPr>
          <w:color w:val="000000"/>
          <w:u w:color="000000"/>
        </w:rPr>
        <w:tab/>
        <w:t>Uspołecznienie procesu tworzenia GPR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13.2.</w:t>
      </w:r>
      <w:r>
        <w:rPr>
          <w:color w:val="000000"/>
          <w:u w:color="000000"/>
        </w:rPr>
        <w:tab/>
        <w:t>Uspołecznienie procesu wdrażania i monitorowania GPR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122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14. </w:t>
      </w:r>
      <w:r>
        <w:rPr>
          <w:color w:val="000000"/>
          <w:u w:color="000000"/>
        </w:rPr>
        <w:tab/>
        <w:t>Wykaz niezbędnych zmian uchwał i opinii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14.1.</w:t>
      </w:r>
      <w:r>
        <w:rPr>
          <w:color w:val="000000"/>
          <w:u w:color="000000"/>
        </w:rPr>
        <w:tab/>
        <w:t>Określenie niezbędnych zmian w uchwałach, o których mowa w art. 21 ust. 1 ustawy z dnia 21 czerwca 2001 r. o ochronie praw l</w:t>
      </w:r>
      <w:r>
        <w:rPr>
          <w:color w:val="000000"/>
          <w:u w:color="000000"/>
        </w:rPr>
        <w:t>okatorów, mieszkaniowym zasobie gminy i o zmianie Kodeksu cywilnego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14.2.</w:t>
      </w:r>
      <w:r>
        <w:rPr>
          <w:color w:val="000000"/>
          <w:u w:color="000000"/>
        </w:rPr>
        <w:tab/>
        <w:t>Informacja o uchwale ustalającej zasady wyznaczania składu oraz zasady działania Komitetu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14.3.</w:t>
      </w:r>
      <w:r>
        <w:rPr>
          <w:color w:val="000000"/>
          <w:u w:color="000000"/>
        </w:rPr>
        <w:tab/>
        <w:t>Wskazanie sposobu realizacji Gminnego Programu</w:t>
      </w:r>
      <w:r>
        <w:rPr>
          <w:color w:val="000000"/>
          <w:u w:color="000000"/>
        </w:rPr>
        <w:t xml:space="preserve"> Rewitalizacji w zakresie planowania i zagospodarowania przestrzennego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14.3.1.</w:t>
      </w:r>
      <w:r>
        <w:rPr>
          <w:color w:val="000000"/>
          <w:u w:color="000000"/>
        </w:rPr>
        <w:tab/>
        <w:t>Wskazanie zakresu niezbędnych zmian w studium uwarunkowań i kierunków zagospodarowania przestrzennego miasta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14.3.2.</w:t>
      </w:r>
      <w:r>
        <w:rPr>
          <w:color w:val="000000"/>
          <w:u w:color="000000"/>
        </w:rPr>
        <w:tab/>
        <w:t>Wskazanie miejscowych planów zagospodar</w:t>
      </w:r>
      <w:r>
        <w:rPr>
          <w:color w:val="000000"/>
          <w:u w:color="000000"/>
        </w:rPr>
        <w:t>owania przestrzennego koniecznych do uchwalenia albo zmiany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14.4.</w:t>
      </w:r>
      <w:r>
        <w:rPr>
          <w:color w:val="000000"/>
          <w:u w:color="000000"/>
        </w:rPr>
        <w:tab/>
        <w:t>Informacja o potrzebie ustanowienia Specjalnej Strefy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14.5.</w:t>
      </w:r>
      <w:r>
        <w:rPr>
          <w:color w:val="000000"/>
          <w:u w:color="000000"/>
        </w:rPr>
        <w:tab/>
        <w:t>Ocena oddziaływania na środowisko Gminnego Programu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14.6.</w:t>
      </w:r>
      <w:r>
        <w:rPr>
          <w:color w:val="000000"/>
          <w:u w:color="000000"/>
        </w:rPr>
        <w:tab/>
        <w:t>Gminny Program Rewita</w:t>
      </w:r>
      <w:r>
        <w:rPr>
          <w:color w:val="000000"/>
          <w:u w:color="000000"/>
        </w:rPr>
        <w:t>lizacji a ochrona zabytków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126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14.7.</w:t>
      </w:r>
      <w:r>
        <w:rPr>
          <w:color w:val="000000"/>
          <w:u w:color="000000"/>
        </w:rPr>
        <w:tab/>
        <w:t>Gminny Program Rewitalizacji a ochrona przyrody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131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14.8.</w:t>
      </w:r>
      <w:r>
        <w:rPr>
          <w:color w:val="000000"/>
          <w:u w:color="000000"/>
        </w:rPr>
        <w:tab/>
        <w:t>Wykaz niezbędnych opinii do Gminnego Programu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131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15. </w:t>
      </w:r>
      <w:r>
        <w:rPr>
          <w:color w:val="000000"/>
          <w:u w:color="000000"/>
        </w:rPr>
        <w:tab/>
        <w:t xml:space="preserve">Załącznik graficzny przedstawiający podstawowe zmiany funkcjonalno - przestrzenne </w:t>
      </w:r>
      <w:r>
        <w:rPr>
          <w:color w:val="000000"/>
          <w:u w:color="000000"/>
        </w:rPr>
        <w:t>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132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Spis Tabel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1 -Rozliczenie wykonania wskaźników GPR 2023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2 - Powierzchnia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3 - Poziom edukacji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30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4 - Poziom aktywności społecznej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5 </w:t>
      </w:r>
      <w:r>
        <w:rPr>
          <w:color w:val="000000"/>
          <w:u w:color="000000"/>
        </w:rPr>
        <w:t>Przestrzenie nieużytkowane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6 - Zdiagnozowane węzłowe problemy na obszarze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7 - Zdiagnozowany potencjał lokalny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8 - Cele i kierunki działań programu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9 -</w:t>
      </w:r>
      <w:r>
        <w:rPr>
          <w:color w:val="000000"/>
          <w:u w:color="000000"/>
        </w:rPr>
        <w:t xml:space="preserve"> Lista podstawowych przedsięwzięć rewitalizacyjnych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68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10 - Lista uzupełniających przedsięwzięć rewitalizacyjnych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99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Tabela 11 - Macierz powiązań problemów z przedsięwzięciami rewitalizacyjnymi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105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12 - Szacunkowe ramy finansowe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>110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13 - Karta monitorowania projektu.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118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14 - Zabytki nieruchome na obszarze rewitalizacji wpisane do rejestru zabytków</w:t>
      </w:r>
      <w:r>
        <w:rPr>
          <w:color w:val="000000"/>
          <w:u w:color="000000"/>
        </w:rPr>
        <w:tab/>
        <w:t>127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Tabela 15 - Legenda do załącznika graficznego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133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Spis wykresów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1 - Ludność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2 - Gęstość zaludnienia obszaru rewitalizacji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3 - Trendy depopulacyjne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4 - Udział bezrobotnych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5 - Samowystarczalność ekonomiczna mieszkańców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6 - Wskaźnik przemocy w rodzinie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7 - Poziom przestępczości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29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8 - Dostępność mediów w gospodarce mieszkaniowej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34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Spis fotografii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1 - Restauracja Europa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2 - Pustostany na Podzamczu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36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Fotografia 3- Pustostan ul. </w:t>
      </w:r>
      <w:r>
        <w:rPr>
          <w:color w:val="000000"/>
          <w:u w:color="000000"/>
        </w:rPr>
        <w:t>Słowackiego 56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4 - Była przychodnia kolejowa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5 - Bugaj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38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6 - Manufaktura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7 - Schrony na oś. Wyzwolenia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39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8 - Spacer badawczy [Rynek Trybunalski]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49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</w:t>
      </w:r>
      <w:r>
        <w:rPr>
          <w:color w:val="000000"/>
          <w:u w:color="000000"/>
        </w:rPr>
        <w:t>tografia 9 - Spacer badawczy [skwer Srzednickiego]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50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10 - Spacer badawczy [skwer Chełmońskiego]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51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11 - Spacer badawczy [Wieża Ciśnień]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51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12 - Spacer badawczy [była przychodnia kolejowa]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13 -</w:t>
      </w:r>
      <w:r>
        <w:rPr>
          <w:color w:val="000000"/>
          <w:u w:color="000000"/>
        </w:rPr>
        <w:t xml:space="preserve"> Spacer badawczy [skwer Rawity-Witanowskiego]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14 - Spacer badawczy [ciąg ulic Czarnej i Zielonej]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53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15 - Spacer badawczy [Stadion Miejski]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55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16 - Spacer badawczy [Bugaj "Słoneczko"]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17 - Sp</w:t>
      </w:r>
      <w:r>
        <w:rPr>
          <w:color w:val="000000"/>
          <w:u w:color="000000"/>
        </w:rPr>
        <w:t>acer badawczy [Bugaj nadbrzeże]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Fotografia 18 - Spacer badawczy [ul. Broniewskiego]</w:t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58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lastRenderedPageBreak/>
        <w:t>1. </w:t>
      </w:r>
      <w:r>
        <w:rPr>
          <w:b/>
          <w:color w:val="000000"/>
          <w:u w:color="000000"/>
        </w:rPr>
        <w:t>Wstęp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Metodologię sporządzenia Gminnego Programu Rewitalizacji warunkowała przede wszystkim </w:t>
      </w:r>
      <w:r>
        <w:rPr>
          <w:i/>
          <w:color w:val="000000"/>
          <w:u w:color="000000"/>
        </w:rPr>
        <w:t xml:space="preserve">Ustawa z dnia 9 października 2015 roku o rewitalizacji </w:t>
      </w:r>
      <w:r>
        <w:rPr>
          <w:color w:val="000000"/>
          <w:u w:color="000000"/>
        </w:rPr>
        <w:t>(Dz. U. z 2015 r. poz. 1777 z późn. zm.). Kierowano się także zaleceniami zawartymi w części II, rozdz. 4 dokumentu pn.: „Zasady realizacji instrumentów terytorialnych w Polsce w perspektywie finansowej UE na lata 2021-2027.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chwili opracowania dokumentu </w:t>
      </w:r>
      <w:r>
        <w:rPr>
          <w:color w:val="000000"/>
          <w:u w:color="000000"/>
        </w:rPr>
        <w:t>nie dysponowano innymi dokumentami i wytycznymi specyficznymi dla wsparcia działań rewitalizacyjnych w ramach EFS i EFRR w perspektywie finansowej 2021-2027.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Dokument opracowany został z wykorzystaniem modelu ekspercko-partycypacyjnego, polegającego na moż</w:t>
      </w:r>
      <w:r>
        <w:rPr>
          <w:color w:val="000000"/>
          <w:u w:color="000000"/>
        </w:rPr>
        <w:t>liwie szerokim udziale wszystkich interesariuszy we wszystkich etapach prac, przy jednoczesnym zaangażowaniu ekspertów zewnętrznych, odpowiadających między innymi za zorganizowanie procesu konsultacji społecznych oraz przygotowanie końcowej wersji dokument</w:t>
      </w:r>
      <w:r>
        <w:rPr>
          <w:color w:val="000000"/>
          <w:u w:color="000000"/>
        </w:rPr>
        <w:t>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Metodologia prac obejmowała dwie zasadnicze części, składające się na efekt końcowy w postaci dokumentu </w:t>
      </w:r>
      <w:r>
        <w:rPr>
          <w:i/>
          <w:color w:val="000000"/>
          <w:u w:color="000000"/>
        </w:rPr>
        <w:t>Gminny Program Rewitalizacji dla Miasta Piotrków Trybunalski na lata 2024-2030</w:t>
      </w:r>
      <w:r>
        <w:rPr>
          <w:color w:val="000000"/>
          <w:u w:color="000000"/>
        </w:rPr>
        <w:t xml:space="preserve">, a mianowicie: 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rPr>
          <w:b/>
        </w:rPr>
        <w:t>I. </w:t>
      </w:r>
      <w:r>
        <w:rPr>
          <w:b/>
          <w:i/>
          <w:color w:val="000000"/>
          <w:u w:color="000000"/>
        </w:rPr>
        <w:t xml:space="preserve">Wyznaczenie obszaru zdegradowanego i obszaru rewitalizacji na terenie Miasta Piotrków Trybunalski </w:t>
      </w:r>
      <w:r>
        <w:rPr>
          <w:color w:val="000000"/>
          <w:u w:color="000000"/>
        </w:rPr>
        <w:t xml:space="preserve">– obejmowało następujące etapy: 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Zgromadzenie danych statystycznych do diagnozy w podziale na ustalone jednostki strukturalne gminy we wszystkich sferach: </w:t>
      </w:r>
      <w:r>
        <w:rPr>
          <w:color w:val="000000"/>
          <w:u w:color="000000"/>
        </w:rPr>
        <w:t>społecznej, gospodarczej, środowiskowej, przestrzenno-funkcjonalnej oraz technicznej zarówno z Urzędu Miasta w Piotrkowie Trybunalskim, jak i instytucji zewnętrznych;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Wykonanie wielokryterialnej analizy przestrzennej ustalonych wskaźników oraz opracowan</w:t>
      </w:r>
      <w:r>
        <w:rPr>
          <w:color w:val="000000"/>
          <w:u w:color="000000"/>
        </w:rPr>
        <w:t>ie diagnozy gminy na potrzeby wyznaczenia obszaru zdegradowanego i obszaru rewitalizacji wraz z mapami poglądowymi koncentracji problemów we wszystkich ww. sferach;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przeprowadzenie konsultacji społecznych projektu uchwały w sprawie wyznaczenia obszaru z</w:t>
      </w:r>
      <w:r>
        <w:rPr>
          <w:color w:val="000000"/>
          <w:u w:color="000000"/>
        </w:rPr>
        <w:t>degradowanego i obszaru rewitalizacji na terenie Miasta Piotrków Trybunalski wraz z opracowaną diagnozą gminy oraz mapami przedstawiającymi granice ww. obszarów;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przedstawienie Radzie Miasta przez Prezydenta Miasta Piotrkowa Trybunalskiego wniosku o wyz</w:t>
      </w:r>
      <w:r>
        <w:rPr>
          <w:color w:val="000000"/>
          <w:u w:color="000000"/>
        </w:rPr>
        <w:t>naczenie obszaru zdegradowanego i obszaru rewitalizacji na terenie miasta wraz z projektem uchwały, diagnozą na potrzeby wyznaczenia ww. obszarów i mapami przedstawiającymi ich granice w skalach 1:5000 a także informacją podsumowującą przeprowadzone konsul</w:t>
      </w:r>
      <w:r>
        <w:rPr>
          <w:color w:val="000000"/>
          <w:u w:color="000000"/>
        </w:rPr>
        <w:t xml:space="preserve">tacje społeczne. Diagnoza Miasta Piotrkowa Trybunalskiego służyła zidentyfikowaniu obszarów miasta w stanie kryzysowym z powodu koncentracji negatywnych zjawisk w sferze społecznej oraz co najmniej jednej z następujących sfer: gospodarczej, środowiskowej, </w:t>
      </w:r>
      <w:r>
        <w:rPr>
          <w:color w:val="000000"/>
          <w:u w:color="000000"/>
        </w:rPr>
        <w:t>przestrzenno-funkcjonalnej i technicznej. Obejmowała cały obszar miasta w podziale na ustalone jednostki strukturalne, a przeprowadzona została w oparciu o obiektywne i weryfikowalne mierniki oraz metody badawcze dostosowane do lokalnych uwarunkowań.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po</w:t>
      </w:r>
      <w:r>
        <w:rPr>
          <w:color w:val="000000"/>
          <w:u w:color="000000"/>
        </w:rPr>
        <w:t xml:space="preserve">djęcie na sesji przez Radę Miasta Piotrkowa Trybunalskiego </w:t>
      </w:r>
      <w:r>
        <w:rPr>
          <w:i/>
          <w:color w:val="000000"/>
          <w:u w:color="000000"/>
        </w:rPr>
        <w:t xml:space="preserve">Uchwały nr LXII/779/23 </w:t>
      </w:r>
      <w:r>
        <w:rPr>
          <w:i/>
          <w:color w:val="000000"/>
          <w:u w:color="000000"/>
        </w:rPr>
        <w:br/>
        <w:t xml:space="preserve">z dnia 29 marca 2023 roku w sprawie wyznaczenia obszaru zdegradowanego i obszaru rewitalizacji. </w:t>
      </w:r>
      <w:r>
        <w:rPr>
          <w:color w:val="000000"/>
          <w:u w:color="000000"/>
        </w:rPr>
        <w:t>Uchwała została opublikowana w Dzienniku Urzędowym Województwa Łódzkiego w dn</w:t>
      </w:r>
      <w:r>
        <w:rPr>
          <w:color w:val="000000"/>
          <w:u w:color="000000"/>
        </w:rPr>
        <w:t>iu 4 kwietnia 2023 r.</w:t>
      </w:r>
      <w:r>
        <w:rPr>
          <w:i/>
          <w:color w:val="000000"/>
          <w:u w:color="000000"/>
        </w:rPr>
        <w:t xml:space="preserve"> (Dz. Urz. Woj. Łódz. Poz. 2814).</w:t>
      </w:r>
    </w:p>
    <w:p w:rsidR="00A77B3E" w:rsidRDefault="00EC7227">
      <w:pPr>
        <w:spacing w:before="120" w:after="120"/>
        <w:ind w:left="850" w:firstLine="227"/>
        <w:rPr>
          <w:color w:val="000000"/>
          <w:u w:color="000000"/>
        </w:rPr>
      </w:pPr>
      <w:r>
        <w:rPr>
          <w:color w:val="000000"/>
          <w:u w:color="000000"/>
        </w:rPr>
        <w:t>Zgodnie z zaleceniem zawartym w rozdziale II.4.1 dokumentu pn.: „</w:t>
      </w:r>
      <w:r>
        <w:rPr>
          <w:b/>
          <w:color w:val="000000"/>
          <w:u w:color="000000"/>
        </w:rPr>
        <w:t>Zasady realizacji instrumentów terytorialnych w Polsce w perspektywie finansowej UE na lata 2021-2027”</w:t>
      </w:r>
      <w:r>
        <w:rPr>
          <w:color w:val="000000"/>
          <w:u w:color="000000"/>
        </w:rPr>
        <w:t xml:space="preserve"> złożono do Urzędu Marszałkowskieg</w:t>
      </w:r>
      <w:r>
        <w:rPr>
          <w:color w:val="000000"/>
          <w:u w:color="000000"/>
        </w:rPr>
        <w:t>o w Łodzi, w celu roboczych konsultacji, dokument pn.: „</w:t>
      </w:r>
      <w:r>
        <w:rPr>
          <w:b/>
          <w:color w:val="000000"/>
          <w:u w:color="000000"/>
        </w:rPr>
        <w:t xml:space="preserve">Diagnoza i delimitacja obszaru zdegradowanego oraz obszaru rewitalizacji miasta Piotrków Trybunalski”. </w:t>
      </w:r>
      <w:r>
        <w:rPr>
          <w:color w:val="000000"/>
          <w:u w:color="000000"/>
        </w:rPr>
        <w:t>Po uwzględnieniu otrzymanych uwag, dokument ten stanowił podstawę do podjęcia ww. uchwały.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rPr>
          <w:b/>
        </w:rPr>
        <w:t>II. </w:t>
      </w:r>
      <w:r>
        <w:rPr>
          <w:b/>
          <w:i/>
          <w:color w:val="000000"/>
          <w:u w:color="000000"/>
        </w:rPr>
        <w:t>Op</w:t>
      </w:r>
      <w:r>
        <w:rPr>
          <w:b/>
          <w:i/>
          <w:color w:val="000000"/>
          <w:u w:color="000000"/>
        </w:rPr>
        <w:t>racowanie Gminnego Programu Rewitalizacji wraz z przeprowadzeniem procesu opiniowania dokumentu</w:t>
      </w:r>
      <w:r>
        <w:rPr>
          <w:color w:val="000000"/>
          <w:u w:color="000000"/>
        </w:rPr>
        <w:t>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b/>
          <w:color w:val="000000"/>
          <w:u w:color="000000"/>
        </w:rPr>
        <w:t>Definicje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b/>
          <w:color w:val="000000"/>
          <w:u w:color="000000"/>
        </w:rPr>
        <w:t xml:space="preserve">Diagnoza </w:t>
      </w:r>
      <w:r>
        <w:rPr>
          <w:color w:val="000000"/>
          <w:u w:color="000000"/>
        </w:rPr>
        <w:t xml:space="preserve">– dokument pn.: „Diagnoza i Delimitacja Obszaru Zdegradowanego i Obszaru Rewitalizacji Miasta Piotrków Trybunalski” ( listopad </w:t>
      </w:r>
      <w:r>
        <w:rPr>
          <w:color w:val="000000"/>
          <w:u w:color="000000"/>
        </w:rPr>
        <w:t>2023 r.);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b/>
          <w:color w:val="000000"/>
          <w:u w:color="000000"/>
        </w:rPr>
        <w:t>Gmina</w:t>
      </w:r>
      <w:r>
        <w:rPr>
          <w:color w:val="000000"/>
          <w:u w:color="000000"/>
        </w:rPr>
        <w:t xml:space="preserve"> – Miasto Piotrków Trybunalski wykonujące zadania gminy na zasadach określonych w ustawie z dnia 8 marca 1990 r. o samorządzie gminnym; 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b/>
          <w:color w:val="000000"/>
          <w:u w:color="000000"/>
        </w:rPr>
        <w:t>Interesariusze rewitalizacji</w:t>
      </w:r>
      <w:r>
        <w:rPr>
          <w:color w:val="000000"/>
          <w:u w:color="000000"/>
        </w:rPr>
        <w:t xml:space="preserve"> – to w szczególności: mieszkańcy obszaru rewitalizacji, właściciele, </w:t>
      </w:r>
      <w:r>
        <w:rPr>
          <w:color w:val="000000"/>
          <w:u w:color="000000"/>
        </w:rPr>
        <w:t xml:space="preserve">użytkownicy wieczyści nieruchomości i podmioty zarządzające nieruchomościami znajdującymi się na tym obszarze; </w:t>
      </w:r>
      <w:r>
        <w:rPr>
          <w:color w:val="000000"/>
          <w:u w:color="000000"/>
        </w:rPr>
        <w:lastRenderedPageBreak/>
        <w:t>podmioty prowadzące lub zamierzające prowadzić na obszarze gminy działalność gospodarczą, społeczną, jednostki samorządu terytorialnego, organy w</w:t>
      </w:r>
      <w:r>
        <w:rPr>
          <w:color w:val="000000"/>
          <w:u w:color="000000"/>
        </w:rPr>
        <w:t>ładzy publicznej;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b/>
          <w:color w:val="000000"/>
          <w:u w:color="000000"/>
        </w:rPr>
        <w:t>Rewitalizacja</w:t>
      </w:r>
      <w:r>
        <w:rPr>
          <w:color w:val="000000"/>
          <w:u w:color="000000"/>
        </w:rPr>
        <w:t xml:space="preserve"> – stanowi</w:t>
      </w:r>
      <w:r>
        <w:rPr>
          <w:color w:val="000000"/>
          <w:u w:color="000000"/>
        </w:rPr>
        <w:tab/>
        <w:t>proces</w:t>
      </w:r>
      <w:r>
        <w:rPr>
          <w:color w:val="000000"/>
          <w:u w:color="000000"/>
        </w:rPr>
        <w:tab/>
        <w:t>wyprowadzania ze stanu kryzysowego obszarów zdegradowanych, prowadzony w sposób kompleksowy, poprzez zintegrowane działania na rzecz lokalnej społeczności, przestrzeni i gospodarki, skoncentrowane terytor</w:t>
      </w:r>
      <w:r>
        <w:rPr>
          <w:color w:val="000000"/>
          <w:u w:color="000000"/>
        </w:rPr>
        <w:t>ialnie, prowadzone przez interesariuszy rewitalizacji na podstawie programu rewitalizacji;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b/>
          <w:color w:val="000000"/>
          <w:u w:color="000000"/>
        </w:rPr>
        <w:t>Stan kryzysowy</w:t>
      </w:r>
      <w:r>
        <w:rPr>
          <w:color w:val="000000"/>
          <w:u w:color="000000"/>
        </w:rPr>
        <w:t xml:space="preserve"> – stan spowodowany koncentracją negatywnych zjawisk społecznych (w szczególności bezrobocia, ubóstwa, przestępczości, niskiego poziomu edukacji lub</w:t>
      </w:r>
      <w:r>
        <w:rPr>
          <w:color w:val="000000"/>
          <w:u w:color="000000"/>
        </w:rPr>
        <w:t xml:space="preserve"> kapitału społecznego, niewystarczającego poziomu uczestnictwa w życiu publicznym i kulturalnym), współwystępujących z negatywnymi zjawiskami w co najmniej jednej z następujących sfer:</w:t>
      </w:r>
    </w:p>
    <w:p w:rsidR="00A77B3E" w:rsidRDefault="00EC7227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gospodarczej (w szczególności w zakresie niskiego stopnia przedsiębi</w:t>
      </w:r>
      <w:r>
        <w:rPr>
          <w:color w:val="000000"/>
          <w:u w:color="000000"/>
        </w:rPr>
        <w:t>orczości, słabej kondycji lokalnych przedsiębiorstw)</w:t>
      </w:r>
    </w:p>
    <w:p w:rsidR="00A77B3E" w:rsidRDefault="00EC7227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środowiskowej (w szczególności w zakresie przekroczenia standardów jakości środowiska, obecności odpadów stwarzających zagrożenie dla życia, zdrowia, ludzi bądź stanu środowiska);</w:t>
      </w:r>
    </w:p>
    <w:p w:rsidR="00A77B3E" w:rsidRDefault="00EC7227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przestrzenno-funk</w:t>
      </w:r>
      <w:r>
        <w:rPr>
          <w:color w:val="000000"/>
          <w:u w:color="000000"/>
        </w:rPr>
        <w:t>cjonalnej (w szczególności w zakresie niewystarczającego wyposażenia w infrastrukturę techniczną i społeczną, braku dostępu do podstawowych usług lub ich niskiej jakości, niedostosowania rozwiązań urbanistycznych do zmieniających się funkcji obszaru, niski</w:t>
      </w:r>
      <w:r>
        <w:rPr>
          <w:color w:val="000000"/>
          <w:u w:color="000000"/>
        </w:rPr>
        <w:t>ego poziomu obsługi komunikacyjnej, deficytu lub niskiej jakości terenów publicznych);</w:t>
      </w:r>
    </w:p>
    <w:p w:rsidR="00A77B3E" w:rsidRDefault="00EC7227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technicznej (w szczególności w zakresie degradacji stanu technicznego obiektów budowlanych, w tym o przeznaczeniu mieszkaniowym, oraz braku funkcjonowania rozwiązań t</w:t>
      </w:r>
      <w:r>
        <w:rPr>
          <w:color w:val="000000"/>
          <w:u w:color="000000"/>
        </w:rPr>
        <w:t>echnicznych umożliwiających efektywne korzystanie z obiektów budowlanych, w szczególności w zakresie energooszczędności i ochrony środowiska). Skalę negatywnych zjawisk odzwierciedlają mierniki rozwoju opisujące powyższe sfery, które wskazują na niski pozi</w:t>
      </w:r>
      <w:r>
        <w:rPr>
          <w:color w:val="000000"/>
          <w:u w:color="000000"/>
        </w:rPr>
        <w:t>om rozwoju lub dokumentują silną dynamikę spadku poziomu rozwoju, w odniesieniu do wartości dla całej gminy;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b/>
          <w:color w:val="000000"/>
          <w:u w:color="000000"/>
        </w:rPr>
        <w:t>Obszar zdegradowany</w:t>
      </w:r>
      <w:r>
        <w:rPr>
          <w:color w:val="000000"/>
          <w:u w:color="000000"/>
        </w:rPr>
        <w:t xml:space="preserve"> – obszar, na którym zidentyfikowano stan kryzysowy. Obszar zdegradowany może być podzielony na podobszary, w tym podobszary </w:t>
      </w:r>
      <w:r>
        <w:rPr>
          <w:color w:val="000000"/>
          <w:u w:color="000000"/>
        </w:rPr>
        <w:t>nieposiadające ze sobą wspólnych granic pod warunkiem stwierdzenia stanu kryzysowego na każdym z podobszarów;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b/>
          <w:color w:val="000000"/>
          <w:u w:color="000000"/>
        </w:rPr>
        <w:t>Obszar rewitalizacji</w:t>
      </w:r>
      <w:r>
        <w:rPr>
          <w:color w:val="000000"/>
          <w:u w:color="000000"/>
        </w:rPr>
        <w:t xml:space="preserve"> – obszar obejmujący całość lub część obszaru zdegradowanego, cechujący się szczególną koncentracją negatywnych zjawisk, o </w:t>
      </w:r>
      <w:r>
        <w:rPr>
          <w:color w:val="000000"/>
          <w:u w:color="000000"/>
        </w:rPr>
        <w:t>których mowa w pkt 3, na którym, z uwagi na istotne znaczenie dla rozwoju lokalnego, zamierza się prowadzić rewitalizację. Obszar rewitalizacji może być podzielony na podobszary, w tym podobszary nieposiadające ze sobą wspólnych granic, lecz nie może obejm</w:t>
      </w:r>
      <w:r>
        <w:rPr>
          <w:color w:val="000000"/>
          <w:u w:color="000000"/>
        </w:rPr>
        <w:t>ować terenów większych niż 20% powierzchni gminy oraz zamieszkałych przez więcej niż 30% mieszkańców gminy.</w:t>
      </w:r>
    </w:p>
    <w:p w:rsidR="00A77B3E" w:rsidRDefault="00EC7227">
      <w:pPr>
        <w:spacing w:before="120" w:after="120"/>
        <w:ind w:left="624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skład obszaru rewitalizacji mogą wejść obszary występowania problemów przestrzennych (tzw. </w:t>
      </w:r>
      <w:r>
        <w:rPr>
          <w:b/>
          <w:color w:val="000000"/>
          <w:u w:color="000000"/>
        </w:rPr>
        <w:t>przestrzeń nieużytkowana</w:t>
      </w:r>
      <w:r>
        <w:rPr>
          <w:color w:val="000000"/>
          <w:u w:color="000000"/>
        </w:rPr>
        <w:t xml:space="preserve">) takich jak tereny </w:t>
      </w:r>
      <w:r>
        <w:rPr>
          <w:color w:val="000000"/>
          <w:u w:color="000000"/>
        </w:rPr>
        <w:t>poprzemysłowe (w tym po portowe i po wydobywcze), powojskowe lub po kolejowe, wyłącznie w przypadku, gdy przewidziane dla nich działania są ściśle powiązane z celami rewitalizacji dla danego obszaru rewitalizacji.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b/>
          <w:color w:val="000000"/>
          <w:u w:color="000000"/>
        </w:rPr>
        <w:t>Program</w:t>
      </w:r>
      <w:r>
        <w:rPr>
          <w:color w:val="000000"/>
          <w:u w:color="000000"/>
        </w:rPr>
        <w:t xml:space="preserve"> – „Program Rewitalizacji dla Mi</w:t>
      </w:r>
      <w:r>
        <w:rPr>
          <w:color w:val="000000"/>
          <w:u w:color="000000"/>
        </w:rPr>
        <w:t>asta Piotrków Trybunalski na lata 2024 – 2030.”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b/>
          <w:color w:val="000000"/>
          <w:u w:color="000000"/>
        </w:rPr>
        <w:t>Przestrzeń nieużytkowana</w:t>
      </w:r>
      <w:r>
        <w:rPr>
          <w:color w:val="000000"/>
          <w:u w:color="000000"/>
        </w:rPr>
        <w:t xml:space="preserve"> – to obecnie nieużytkowane tereny i obiekty, na których realizowano działalności: przemysłowe, wojskowe, eksploatację kopalin, transportowe, rolnicze, infrastruktury komunalnej (zw</w:t>
      </w:r>
      <w:r>
        <w:rPr>
          <w:color w:val="000000"/>
          <w:u w:color="000000"/>
        </w:rPr>
        <w:t>iązanej z gospodarką wodno-ściekową, odpadami, zaopatrzeniem w energię). Specyficznym rodzajem „przestrzeni nieużytkowanych” są także tereny i obiekty, w których rozpoczęto realizację zagospodarowania i jej nie zakończono – formalnie nie doszło więc do roz</w:t>
      </w:r>
      <w:r>
        <w:rPr>
          <w:color w:val="000000"/>
          <w:u w:color="000000"/>
        </w:rPr>
        <w:t>poczęcia działalności, ale teren jest zajęty przez nieużytkowane obiekty. W szczególności do „przestrzeni nieużytkowanych” należy zaliczyć: budynki (także budynki towarzyszące zasadniczej funkcji – np. w przypadku terenów przemysłowych lub gospodarstw roln</w:t>
      </w:r>
      <w:r>
        <w:rPr>
          <w:color w:val="000000"/>
          <w:u w:color="000000"/>
        </w:rPr>
        <w:t>ych także budynki zajmowane przez administrację, bazy pojazdów, itp.), place manewrowe, place składowe, tereny obsługi komunikacyjnej, tereny wyrobisk, tereny składowisk,</w:t>
      </w:r>
      <w:r>
        <w:rPr>
          <w:color w:val="000000"/>
          <w:u w:color="000000"/>
        </w:rPr>
        <w:tab/>
        <w:t>budynki dworcowe, urządzenia stacyjne, rampy załadowcze, obiekty magazynowo - składow</w:t>
      </w:r>
      <w:r>
        <w:rPr>
          <w:color w:val="000000"/>
          <w:u w:color="000000"/>
        </w:rPr>
        <w:t xml:space="preserve">e (przy terenach przemysłowych, rolnych lub komunikacyjnych). </w:t>
      </w:r>
    </w:p>
    <w:p w:rsidR="00A77B3E" w:rsidRDefault="00EC7227">
      <w:pPr>
        <w:spacing w:before="120" w:after="120"/>
        <w:ind w:left="624" w:firstLine="227"/>
        <w:rPr>
          <w:color w:val="000000"/>
          <w:u w:color="000000"/>
        </w:rPr>
      </w:pPr>
      <w:r>
        <w:rPr>
          <w:color w:val="000000"/>
          <w:u w:color="000000"/>
        </w:rPr>
        <w:t>Do kategorii przestrzeni nieużytkowanej zalicza się także tereny i urządzenia infrastruktury technicznej służącej obsłudze ww. terenów, jeśli są z nimi integralnie związane (to znaczy po zaprze</w:t>
      </w:r>
      <w:r>
        <w:rPr>
          <w:color w:val="000000"/>
          <w:u w:color="000000"/>
        </w:rPr>
        <w:t xml:space="preserve">staniu zasadniczej działalności nie zostały zaadaptowane na inne cele) – np. zakładowe ujęcia wody, oczyszczalnie ścieków, przepompownie ścieków, składowiska odpadów, urządzenia zasilania w energię, w tym w energię </w:t>
      </w:r>
      <w:r>
        <w:rPr>
          <w:color w:val="000000"/>
          <w:u w:color="000000"/>
        </w:rPr>
        <w:lastRenderedPageBreak/>
        <w:t>elektryczną, stacje redukcyjne gazu, itp.</w:t>
      </w:r>
      <w:r>
        <w:rPr>
          <w:color w:val="000000"/>
          <w:u w:color="000000"/>
        </w:rPr>
        <w:t xml:space="preserve"> Do kategorii przestrzeni nieużytkowanych związanych z pełnioną wcześniej działalnością rolniczą nie zalicza się użytków rolnych, a jedynie tereny zajmowane przez zabudowę (w tym służącą hodowli), zagospodarowanie towarzyszące i infrastrukturę obsługi tych</w:t>
      </w:r>
      <w:r>
        <w:rPr>
          <w:color w:val="000000"/>
          <w:u w:color="000000"/>
        </w:rPr>
        <w:t xml:space="preserve"> terenów;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b/>
          <w:color w:val="000000"/>
          <w:u w:color="000000"/>
        </w:rPr>
        <w:t>Program rewitalizacji</w:t>
      </w:r>
      <w:r>
        <w:rPr>
          <w:color w:val="000000"/>
          <w:u w:color="000000"/>
        </w:rPr>
        <w:t xml:space="preserve"> – uchwalony przez Radę Miasta, na podstawie art. 14 ust. 1 ustawy o rewitalizacji, wieloletni program działań w sferze społecznej oraz gospodarczej lub przestrzenno-funkcjonalnej lub technicznej lub środowiskowej, zmierz</w:t>
      </w:r>
      <w:r>
        <w:rPr>
          <w:color w:val="000000"/>
          <w:u w:color="000000"/>
        </w:rPr>
        <w:t>ający do wyprowadzenia obszarów rewitalizacji ze stanu kryzysowego oraz stworzenia warunków do ich zrównoważonego rozwoju, stanowiący narzędzie planowania, koordynowania i integrowania różnorodnych aktywności w ramach rewitalizacji;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b/>
          <w:color w:val="000000"/>
          <w:u w:color="000000"/>
        </w:rPr>
        <w:t>Projekt rewitalizac</w:t>
      </w:r>
      <w:r>
        <w:rPr>
          <w:b/>
          <w:color w:val="000000"/>
          <w:u w:color="000000"/>
        </w:rPr>
        <w:t>yjny</w:t>
      </w:r>
      <w:r>
        <w:rPr>
          <w:color w:val="000000"/>
          <w:u w:color="000000"/>
        </w:rPr>
        <w:t xml:space="preserve"> – projekt w rozumieniu art. 2 pkt 18 ustawy wdrożeniowej, wynikający z programu rewitalizacji, tj. zaplanowany w programie rewitalizacji i ukierunkowany na osiągnięcie jego celów albo logicznie powiązany z treścią i celami programu rewitalizacji. Wyni</w:t>
      </w:r>
      <w:r>
        <w:rPr>
          <w:color w:val="000000"/>
          <w:u w:color="000000"/>
        </w:rPr>
        <w:t>kanie projektu rewitalizacyjnego z programu rewitalizacji oznacza zatem albo wskazanie (wymienienie) go wprost w programie rewitalizacji albo określenie go w ogólnym (zbiorczym) opisie innych, uzupełniających rodzajów działań rewitalizacyjnych.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12) </w:t>
      </w:r>
      <w:r>
        <w:rPr>
          <w:b/>
          <w:color w:val="000000"/>
          <w:u w:color="000000"/>
        </w:rPr>
        <w:t>Przedsi</w:t>
      </w:r>
      <w:r>
        <w:rPr>
          <w:b/>
          <w:color w:val="000000"/>
          <w:u w:color="000000"/>
        </w:rPr>
        <w:t>ęwzięcie rewitalizacyjne</w:t>
      </w:r>
      <w:r>
        <w:rPr>
          <w:color w:val="000000"/>
          <w:u w:color="000000"/>
        </w:rPr>
        <w:t xml:space="preserve"> – projekt lub grupa projektów i innych działań, w szczególności o charakterze społecznym, gospodarczym, urbanistycznym, budowlanym, środowiskowym, konserwatorskim, edukacyjnym, naukowym, zdrowotnym lub kulturalnym, zawartym lub wyn</w:t>
      </w:r>
      <w:r>
        <w:rPr>
          <w:color w:val="000000"/>
          <w:u w:color="000000"/>
        </w:rPr>
        <w:t>ikającym z programu rewitalizacji oraz logicznie powiązanym z treścią i celami programu rewitalizacji.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b/>
          <w:color w:val="000000"/>
          <w:u w:color="000000"/>
        </w:rPr>
        <w:t>Obszar zdegradowany i obszar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Wstępna analiza sfery społecznej, gospodarczej, środowiskowej, technicznej i funkcjonalno-użytkowej </w:t>
      </w:r>
      <w:r>
        <w:rPr>
          <w:color w:val="000000"/>
          <w:u w:color="000000"/>
        </w:rPr>
        <w:t>wskazała na następujące utrwalone w czasie obszary problemowe: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Postępujące procesy depopulacyjne (starzenie się ludności, ujemne saldo migracji</w:t>
      </w:r>
      <w:r>
        <w:rPr>
          <w:color w:val="000000"/>
          <w:u w:color="000000"/>
        </w:rPr>
        <w:br/>
        <w:t>i ujemny przyrost naturalny),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Niska samowystarczalność ekonomiczna części mieszkańców,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Przekraczający ś</w:t>
      </w:r>
      <w:r>
        <w:rPr>
          <w:color w:val="000000"/>
          <w:u w:color="000000"/>
        </w:rPr>
        <w:t>redni w województwie poziom przestępczości,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Niska jakość powietrza oraz niski poziom proekologicznej (selektywnej) gospodarki odpadami komunalnymi,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Niezadawalający rozwój gospodarki mieszkaniowej,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Liczne przestrzenie/obiekty nieużytkowane,</w:t>
      </w:r>
    </w:p>
    <w:p w:rsidR="00A77B3E" w:rsidRDefault="00EC7227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Nied</w:t>
      </w:r>
      <w:r>
        <w:rPr>
          <w:color w:val="000000"/>
          <w:u w:color="000000"/>
        </w:rPr>
        <w:t>ostateczny poziom dostępności infrastruktury dla osób ze specjalnymi potrzebami</w:t>
      </w:r>
    </w:p>
    <w:p w:rsidR="00A77B3E" w:rsidRDefault="00EC7227">
      <w:pPr>
        <w:spacing w:before="120" w:after="120"/>
        <w:ind w:left="624" w:firstLine="227"/>
        <w:rPr>
          <w:color w:val="000000"/>
          <w:u w:color="000000"/>
        </w:rPr>
      </w:pPr>
      <w:r>
        <w:rPr>
          <w:color w:val="000000"/>
          <w:u w:color="000000"/>
        </w:rPr>
        <w:t>Powyższe obszary problemowe poddane zostały pogłębionej ocenie w ramach zawartej w Diagnozie analizy poszczególnych jednostek strukturalnych miasta.</w:t>
      </w:r>
    </w:p>
    <w:p w:rsidR="00A77B3E" w:rsidRDefault="00EC7227">
      <w:pPr>
        <w:spacing w:before="120" w:after="120"/>
        <w:ind w:left="624" w:firstLine="227"/>
        <w:rPr>
          <w:color w:val="000000"/>
          <w:u w:color="000000"/>
        </w:rPr>
      </w:pPr>
      <w:r>
        <w:rPr>
          <w:color w:val="000000"/>
          <w:u w:color="000000"/>
        </w:rPr>
        <w:t>Zgodnie z przyjętym kryteri</w:t>
      </w:r>
      <w:r>
        <w:rPr>
          <w:color w:val="000000"/>
          <w:u w:color="000000"/>
        </w:rPr>
        <w:t>um za obszar zdegradowany uznano te jednostki strukturalne, w których zdiagnozowano przynajmniej dwa stany kryzysowe w sferze społecznej i co najmniej jeden stan kryzysowy w pozostałych sferach.</w:t>
      </w:r>
    </w:p>
    <w:p w:rsidR="00A77B3E" w:rsidRDefault="00EC7227">
      <w:pPr>
        <w:spacing w:before="120" w:after="120"/>
        <w:ind w:left="624" w:firstLine="227"/>
        <w:rPr>
          <w:color w:val="000000"/>
          <w:u w:color="000000"/>
        </w:rPr>
      </w:pPr>
      <w:r>
        <w:rPr>
          <w:color w:val="000000"/>
          <w:u w:color="000000"/>
        </w:rPr>
        <w:t>Obszar zdegradowany miasta Piotrkowa Trybunalskiego tworzą na</w:t>
      </w:r>
      <w:r>
        <w:rPr>
          <w:color w:val="000000"/>
          <w:u w:color="000000"/>
        </w:rPr>
        <w:t>stępujące jednostki strukturalne: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5"/>
        <w:gridCol w:w="1158"/>
        <w:gridCol w:w="1720"/>
        <w:gridCol w:w="1907"/>
        <w:gridCol w:w="1720"/>
        <w:gridCol w:w="1737"/>
        <w:gridCol w:w="1465"/>
      </w:tblGrid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Lp.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Nr JS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Liczba stanów kryzysowych sfery społecznej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Liczba stanów kryzysowych w pozostałych sferach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Razem liczba stanów kryzysowych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Powierzchnia [ha]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Ludność [osób]</w:t>
            </w:r>
          </w:p>
        </w:tc>
      </w:tr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6 577</w:t>
            </w:r>
          </w:p>
        </w:tc>
      </w:tr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2 004</w:t>
            </w:r>
          </w:p>
        </w:tc>
      </w:tr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467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5 137</w:t>
            </w:r>
          </w:p>
        </w:tc>
      </w:tr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294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1 219</w:t>
            </w:r>
          </w:p>
        </w:tc>
      </w:tr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1 736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1 071</w:t>
            </w:r>
          </w:p>
        </w:tc>
      </w:tr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723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9 719</w:t>
            </w:r>
          </w:p>
        </w:tc>
      </w:tr>
      <w:tr w:rsidR="00A916A4"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436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2 420</w:t>
            </w:r>
          </w:p>
        </w:tc>
      </w:tr>
      <w:tr w:rsidR="00A916A4">
        <w:tc>
          <w:tcPr>
            <w:tcW w:w="16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RAZEM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34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3 917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28 147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 xml:space="preserve">Obszar zdegradowany miasta Piotrków Trybunalski obejmuje 7 jednostek strukturalnych o powierzchni 3 917 ha, co stanowi 58,25% </w:t>
      </w:r>
      <w:r>
        <w:rPr>
          <w:color w:val="000000"/>
          <w:u w:color="000000"/>
        </w:rPr>
        <w:t>powierzchni miasta. Na obszarze zamieszkuje 28 147 mieszkańców, co stanowi 41,92% ludności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artykule 10 ustawy o rewitalizacji zapisano: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Obszar obejmujący całość lub część obszaru zdegradowanego, cechujący się szczególną koncentracją negatywnyc</w:t>
      </w:r>
      <w:r>
        <w:rPr>
          <w:color w:val="000000"/>
          <w:u w:color="000000"/>
        </w:rPr>
        <w:t>h zjawisk, o których mowa w art. 9 ust. 1, na którym z uwagi na istotne znaczenie dla rozwoju lokalnego gmina zamierza prowadzić rewitalizację, wyznacza się jako obszar rewitalizacji.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Obszar rewitalizacji nie może być większy niż 20% powierzchni gminy o</w:t>
      </w:r>
      <w:r>
        <w:rPr>
          <w:color w:val="000000"/>
          <w:u w:color="000000"/>
        </w:rPr>
        <w:t>raz zamieszkały przez więcej niż 30% liczby mieszkańców gminy. Obszar rewitalizacji może być podzielony na podobszary, w tym podobszary nieposiadające ze sobą wspólnych granic.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związku z sytuacją, w której wyznaczony obszar zdegradowany znacznie przekrac</w:t>
      </w:r>
      <w:r>
        <w:rPr>
          <w:color w:val="000000"/>
          <w:u w:color="000000"/>
        </w:rPr>
        <w:t>za powyższe limity przeprowadzono w kolejnych krokach proces delimitacji poszczególnych jednostek zdegradowanych wg określonych w diagnozie priorytetów, w celu wyznaczenia obszaru rewitalizacji miasta Piotrków Trybunalski w zgodzie z ustawowymi limitami.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</w:t>
      </w:r>
      <w:r>
        <w:rPr>
          <w:color w:val="000000"/>
          <w:u w:color="000000"/>
        </w:rPr>
        <w:t xml:space="preserve">godnie z podjętą </w:t>
      </w:r>
      <w:r>
        <w:rPr>
          <w:b/>
          <w:color w:val="000000"/>
          <w:u w:color="000000"/>
        </w:rPr>
        <w:t xml:space="preserve">uchwałą nr LXII/779/23 Rady Miasta Piotrkowa Trybunalskiego z dnia 29 marca 2023 roku w sprawie wyznaczenia obszaru zdegradowanego i obszaru rewitalizacji (Dz. Urzędowy Woj. Łódzkiego poz. 2814), </w:t>
      </w:r>
      <w:r>
        <w:rPr>
          <w:color w:val="000000"/>
          <w:u w:color="000000"/>
        </w:rPr>
        <w:t>obszar rewitalizacji Miasta Piotrkowa Trybu</w:t>
      </w:r>
      <w:r>
        <w:rPr>
          <w:color w:val="000000"/>
          <w:u w:color="000000"/>
        </w:rPr>
        <w:t>nalskiego składa się z następujących jednostek strukturalnych: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JS nr 1, dalej zwana w Programie jako „podobszar Śródmieście”;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JS nr 15, dalej zwana w Programie jako „podobszar Żwirki”;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JS nr 13, dalej zwana w Programie jako „podobszar Bugaj”.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Tak wyz</w:t>
      </w:r>
      <w:r>
        <w:rPr>
          <w:color w:val="000000"/>
          <w:u w:color="000000"/>
        </w:rPr>
        <w:t>naczony obszar rewitalizacji zajmuje powierzchnię 1 266 ha (18,83% obszaru miasta) oraz zamieszkały jest przez 18 716 osób (27,87% ludności miasta).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Mapy obszaru zdegradowanego jak i obszaru rewitalizacji Miasta Piotrkowa Trybunalskiego w skali 1:5000 stan</w:t>
      </w:r>
      <w:r>
        <w:rPr>
          <w:color w:val="000000"/>
          <w:u w:color="000000"/>
        </w:rPr>
        <w:t>owią załączniki do uchwały nr LXII/779/23 Rady Miasta Piotrkowa Trybunalskiego z dnia 29 marca 2023 r w sprawie wyznaczenia obszaru zdegradowanego i obszaru rewitalizacji (Dz. Urzędowy Woj. Łódzkiego poz. 2814).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b/>
          <w:color w:val="000000"/>
          <w:u w:color="000000"/>
        </w:rPr>
        <w:t xml:space="preserve">Powiązania Programu z innymi dokumentami </w:t>
      </w:r>
      <w:r>
        <w:rPr>
          <w:b/>
          <w:color w:val="000000"/>
          <w:u w:color="000000"/>
        </w:rPr>
        <w:t xml:space="preserve">strategicznymi </w:t>
      </w:r>
      <w:r>
        <w:rPr>
          <w:b/>
          <w:color w:val="000000"/>
          <w:u w:color="000000"/>
        </w:rPr>
        <w:br/>
        <w:t>i planistycznymi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Niniejszy Program jest zgodny z dokumentami krajowymi, takimi jak: Narodowy Plan Rewitalizacji czy Ustawa z dnia 9 października 2015 roku o rewitalizacji. Jak wspomniano we wstępie do niniejszego Programu, w chwili jego opr</w:t>
      </w:r>
      <w:r>
        <w:rPr>
          <w:color w:val="000000"/>
          <w:u w:color="000000"/>
        </w:rPr>
        <w:t>acowania nie dysponowano innymi dokumentami i wytycznymi specyficznymi dla przygotowania i wsparcia działań rewitalizacyjnych w ramach EFS i EFRR w perspektywie finansowej 2021-2027.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Gminny Program Rewitalizacji dla Miasta Piotrków Trybunalski na lata </w:t>
      </w:r>
      <w:r>
        <w:rPr>
          <w:color w:val="000000"/>
          <w:u w:color="000000"/>
        </w:rPr>
        <w:t>2024-2030 jest dokumentem o charakterze operacyjnym, którego podstawowym założeniem jest wyznaczenie ram dla skutecznej interwencji publicznej ukierunkowanej na wyznaczone obszary zdegradowane.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ramach wypracowanych założeń planistycznych dokonano identyf</w:t>
      </w:r>
      <w:r>
        <w:rPr>
          <w:color w:val="000000"/>
          <w:u w:color="000000"/>
        </w:rPr>
        <w:t>ikacji celów i metod pozwalających na zniwelowanie kluczowych deficytów obszarów problemowych, które w ramach polityki społeczno-gospodarczej korespondują z założeniami na poziomie wspólnotowym, krajowym i regionalnym. W szczególności GPR jest komplementar</w:t>
      </w:r>
      <w:r>
        <w:rPr>
          <w:color w:val="000000"/>
          <w:u w:color="000000"/>
        </w:rPr>
        <w:t>ny w odniesieniu do następujących dokumentów o charakterze programowym i strategicznym, obowiązujących na poziomie ponadregionalnym: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► </w:t>
      </w:r>
      <w:r>
        <w:rPr>
          <w:b/>
          <w:color w:val="000000"/>
          <w:u w:color="000000"/>
        </w:rPr>
        <w:t>Długookresowa Strategia Rozwoju Kraju – Polska 2030, Trzecia fala nowoczesności</w:t>
      </w:r>
      <w:r>
        <w:rPr>
          <w:color w:val="000000"/>
          <w:u w:color="000000"/>
        </w:rPr>
        <w:t>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Dokument ten, określający główne trendy,</w:t>
      </w:r>
      <w:r>
        <w:rPr>
          <w:color w:val="000000"/>
          <w:u w:color="000000"/>
        </w:rPr>
        <w:t xml:space="preserve"> wyzwania oraz koncepcję rozwoju kraju w perspektywie długookresowej, przyjęty został przez Radę Ministrów w dniu 5 lutego 2013 r. Jego założeniem jest przezwyciężenie kryzysu finansowego w możliwie najkrótszym czasie oraz wzrost gospodarczy kraju.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Spójnoś</w:t>
      </w:r>
      <w:r>
        <w:rPr>
          <w:color w:val="000000"/>
          <w:u w:color="000000"/>
        </w:rPr>
        <w:t>ć z niniejszym dokumentem widoczna jest m.in. w zakresie następujących celów i zadań Strategii: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Rozwój kapitału ludzkiego poprzez wzrost zatrudnienia i stworzenie „workfare state”,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lastRenderedPageBreak/>
        <w:t>- </w:t>
      </w:r>
      <w:r>
        <w:rPr>
          <w:color w:val="000000"/>
          <w:u w:color="000000"/>
        </w:rPr>
        <w:t xml:space="preserve">Zapewnienie bezpieczeństwa energetycznego oraz ochrona i poprawa stanu </w:t>
      </w:r>
      <w:r>
        <w:rPr>
          <w:color w:val="000000"/>
          <w:u w:color="000000"/>
        </w:rPr>
        <w:t>środowiska,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Wzmocnienie mechanizmów terytorialnego równoważenia rozwoju dla rozwijania i pełnego wykorzystania potencjałów regionalnych,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Rewitalizacja obszarów problemowych w miastach,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Wzrost społecznego kapitału rozwoju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► Strategia na rzecz Odpowied</w:t>
      </w:r>
      <w:r>
        <w:rPr>
          <w:b/>
          <w:color w:val="000000"/>
          <w:u w:color="000000"/>
        </w:rPr>
        <w:t xml:space="preserve">zialnego Rozwoju do roku 2020 (z perspektywą do 2030 r.) 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Strategia na rzecz Odpowiedzialnego Rozwoju jest aktualizacją średniookresowej strategii rozwoju kraju, tj. Strategii Rozwoju Kraju 2020, przyjętej uchwałą Rady Ministrów z dnia 25 września 2012 r.,</w:t>
      </w:r>
      <w:r>
        <w:rPr>
          <w:color w:val="000000"/>
          <w:u w:color="000000"/>
        </w:rPr>
        <w:t xml:space="preserve"> zgodnie z wymogami ustawy z dnia 6 grudnia 2006 r. o zasadach prowadzenia polityki rozwoju . Strategia określa nowy model rozwoju – suwerenną wizję strategiczną, zasady, cele i priorytety rozwoju kraju w wymiarze gospodarczym, społecznym i przestrzennym d</w:t>
      </w:r>
      <w:r>
        <w:rPr>
          <w:color w:val="000000"/>
          <w:u w:color="000000"/>
        </w:rPr>
        <w:t>o 2020 r. oraz w perspektywie do 2030 r.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Spójność z niniejszym dokumentem widoczna jest m.in. w zakresie następujących celów i zadań Strategii: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Rozwój społecznie wrażliwy i terytorialnie zrównoważony w tym: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▪ Poprawa dostępności usług świadczonych </w:t>
      </w:r>
      <w:r>
        <w:rPr>
          <w:color w:val="000000"/>
          <w:u w:color="000000"/>
        </w:rPr>
        <w:t>w odpowiedzi na wyzwania demograficzne,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▪ Wzrost i poprawa wykorzystania potencjału kapitału ludzkiego na rynku pracy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▪ Zrównoważony rozwój kraju wykorzystujący indywidualne potencjały endogeniczne poszczególnych terytoriów.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Poniżej dokonano oceny zbieżnoś</w:t>
      </w:r>
      <w:r>
        <w:rPr>
          <w:color w:val="000000"/>
          <w:u w:color="000000"/>
        </w:rPr>
        <w:t xml:space="preserve">ci zdiagnozowanych problemów w sferach: społecznej, gospodarczej, środowiskowej, technicznej i przestrzenno-funkcjonalnej z celami, kierunkami działań oraz realizowanymi przedsięwzięciami zawartymi </w:t>
      </w:r>
      <w:r>
        <w:rPr>
          <w:i/>
          <w:color w:val="000000"/>
          <w:u w:color="000000"/>
        </w:rPr>
        <w:t>w lokalnych dokumentach strategicznych oraz programowo-pla</w:t>
      </w:r>
      <w:r>
        <w:rPr>
          <w:i/>
          <w:color w:val="000000"/>
          <w:u w:color="000000"/>
        </w:rPr>
        <w:t>nistycznych.</w:t>
      </w:r>
      <w:r>
        <w:rPr>
          <w:rStyle w:val="Odwoanieprzypisudolnego"/>
          <w:color w:val="000000"/>
          <w:sz w:val="20"/>
          <w:u w:color="000000"/>
        </w:rPr>
        <w:footnoteReference w:customMarkFollows="1" w:id="1"/>
        <w:t>1)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4.1.</w:t>
      </w:r>
      <w:r>
        <w:rPr>
          <w:b/>
          <w:color w:val="000000"/>
          <w:u w:color="000000"/>
        </w:rPr>
        <w:t>Plan Zagospodarowania Przestrzennego Województwa Łódzkiego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Powiązanie celów GPR z PZPWŁ prezentuje się następująco: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strategiczny 1 GPR</w:t>
      </w:r>
      <w:r>
        <w:rPr>
          <w:color w:val="000000"/>
          <w:u w:color="000000"/>
        </w:rPr>
        <w:t xml:space="preserve"> „Podniesienie jakości życia i aktywności społecznej mieszkańców” ma swoje odzwierciedlenie w celu </w:t>
      </w:r>
      <w:r>
        <w:rPr>
          <w:color w:val="000000"/>
          <w:u w:color="000000"/>
        </w:rPr>
        <w:t>szczegółowym z PZPWŁ: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l. Region spójny, o zrównoważonym systemie osadniczym;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strategiczny 2 GPR</w:t>
      </w:r>
      <w:r>
        <w:rPr>
          <w:color w:val="000000"/>
          <w:u w:color="000000"/>
        </w:rPr>
        <w:t xml:space="preserve"> „Ożywienie gospodarcze obszaru rewitalizacji dla rozwoju przedsiębiorczości” ma swoje odzwierciedlenie w celu szczegółowym z PZPWŁ: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l. Region spójny, o </w:t>
      </w:r>
      <w:r>
        <w:rPr>
          <w:color w:val="000000"/>
          <w:u w:color="000000"/>
        </w:rPr>
        <w:t>zrównoważonym systemie osadniczym;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cel strategiczny 3 GPR </w:t>
      </w:r>
      <w:r>
        <w:rPr>
          <w:color w:val="000000"/>
          <w:u w:color="000000"/>
        </w:rPr>
        <w:t xml:space="preserve">„Dostosowanie infrastruktury publicznej do potrzeb mieszkańców, w tym wykluczonych i ze szczególnymi potrzebami oraz poprawa środowiska naturalnego i ładu przestrzennego obszaru rewitalizacji” ma </w:t>
      </w:r>
      <w:r>
        <w:rPr>
          <w:color w:val="000000"/>
          <w:u w:color="000000"/>
        </w:rPr>
        <w:t>swoje odzwierciedlenie w celu szczegółowym z PZPWŁ: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l. Region spójny, o zrównoważonym systemie osadniczym, IV. Region o wysokiej jakości środowiska przyrodniczego, V. Region o dobrze zachowanym dziedzictwie kulturowym,</w:t>
      </w:r>
      <w:r>
        <w:rPr>
          <w:color w:val="000000"/>
          <w:u w:color="000000"/>
        </w:rPr>
        <w:br/>
        <w:t>VI. Region o wysokiej atrakcyjności</w:t>
      </w:r>
      <w:r>
        <w:rPr>
          <w:color w:val="000000"/>
          <w:u w:color="000000"/>
        </w:rPr>
        <w:t xml:space="preserve"> turystycznej; VII. Region o krajobrazie wysokiej jakości.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4.2.</w:t>
      </w:r>
      <w:r>
        <w:rPr>
          <w:b/>
          <w:color w:val="000000"/>
          <w:u w:color="000000"/>
        </w:rPr>
        <w:t>Strategia rozwoju województwa łódzkiego 2030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Cel główny GPR wraz z jego celami szczegółowymi wpisują się w cele SRWŁ (patrz: Załącznik do Uchwały Nr XXXI/414/21 Sejmiku Województwa Łódzkiego z </w:t>
      </w:r>
      <w:r>
        <w:rPr>
          <w:color w:val="000000"/>
          <w:u w:color="000000"/>
        </w:rPr>
        <w:t>dnia 6 maja 2021 r.), w tym w szczególności: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cel strategiczny „Obywatelskie społeczeństwo równych szans”, w tym cel operacyjny 2.1 „Rozwój kapitału społecznego”- kierunek działania 2.1.2. „Zwiększenie uczestnictwa</w:t>
      </w:r>
      <w:r>
        <w:rPr>
          <w:color w:val="000000"/>
          <w:u w:color="000000"/>
        </w:rPr>
        <w:br/>
        <w:t>w kulturze i rozwój usług kultury” oraz ce</w:t>
      </w:r>
      <w:r>
        <w:rPr>
          <w:color w:val="000000"/>
          <w:u w:color="000000"/>
        </w:rPr>
        <w:t>l operacyjny 2.3 „Ograniczenie skali ubóstwa</w:t>
      </w:r>
      <w:r>
        <w:rPr>
          <w:color w:val="000000"/>
          <w:u w:color="000000"/>
        </w:rPr>
        <w:br/>
        <w:t>i wykluczenia społecznego” - kierunek działania 2.3.1. „Wsparcie dla rodzin i osób zagrożonych ubóstwem i wykluczeniem”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cel strategiczny „Atrakcyjna i dostępna przestrzeń”, w tym: cel operacyjny 3.2 „Ochrona i k</w:t>
      </w:r>
      <w:r>
        <w:rPr>
          <w:color w:val="000000"/>
          <w:u w:color="000000"/>
        </w:rPr>
        <w:t>ształtowanie krajobrazu” oraz cel operacyjny 3.3 „Zwiększenie dostępności transportowej”, kierunek działania 3.3.1. „Zwiększenie dostępności drogowej województwa”.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4.3.</w:t>
      </w:r>
      <w:r>
        <w:rPr>
          <w:b/>
          <w:color w:val="000000"/>
          <w:u w:color="000000"/>
        </w:rPr>
        <w:t>Program Rewitalizacji dla miasta Piotrkowa Trybunalskiego do roku 2023.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Program Rewitali</w:t>
      </w:r>
      <w:r>
        <w:rPr>
          <w:color w:val="000000"/>
          <w:u w:color="000000"/>
        </w:rPr>
        <w:t>zacji dla Miasta Piotrkowa Trybunalskiego do 2023 roku przyjęty został Uchwałą Nr XXVII/361/16 Rady Miasta Piotrkowa Trybunalskiego, z dnia 26 października 2016 roku, zmieniony uchwałą Nr XXXII/426/17 Rady Miasta Piotrkowa Trybunalskiego,</w:t>
      </w:r>
      <w:r>
        <w:rPr>
          <w:color w:val="000000"/>
          <w:u w:color="000000"/>
        </w:rPr>
        <w:br/>
        <w:t>z dnia 25 styczni</w:t>
      </w:r>
      <w:r>
        <w:rPr>
          <w:color w:val="000000"/>
          <w:u w:color="000000"/>
        </w:rPr>
        <w:t>a 2017 roku oraz zmieniony Uchwałą Nr XLII/549/17 z dnia 30 sierpnia 2017 roku. Obszar rewitalizacji wyznaczono na terenie ograniczonym: od zachodu — torami kolejowymi, od północy — ulicą Inżynierską, korytem rzeki Strawy i ulicą Litewską, od wschodu — pla</w:t>
      </w:r>
      <w:r>
        <w:rPr>
          <w:color w:val="000000"/>
          <w:u w:color="000000"/>
        </w:rPr>
        <w:t>cem Litewskim, ul. M. Curie Skłodowskiej oraz rondem Sulejowskim, od południa — al. Kopernika i al. Piłsudskiego do wiaduktu pod torami.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Obszar rewitalizacji zajmował powierzchnię 79,5 ha (1,18% powierzchni miasta) zamieszkałą przez 4 825 mieszkańców </w:t>
      </w:r>
      <w:r>
        <w:rPr>
          <w:color w:val="000000"/>
          <w:u w:color="000000"/>
        </w:rPr>
        <w:t>(6,64% ludności miasta).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Podstawowym celem LPR do roku 2023 było ograniczenie depopulacji obszaru rewitalizacji poprzez zatrzymanie dotychczasowych mieszkańców oraz napływ nowych średniozamożnych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mieszkańców do stworzonego na ten cel zasobu mieszkaniowego.</w:t>
      </w:r>
      <w:r>
        <w:rPr>
          <w:color w:val="000000"/>
          <w:u w:color="000000"/>
        </w:rPr>
        <w:t xml:space="preserve"> Pozwoliło to na zwiększenie popytu w dzielnicy, co miało wpływ na ożywienie handlu i usług oraz stworzenie nowych miejsc pracy. Osiągnięcie powyższego wynikało z realizacji celów szczegółowych, takich jak: wzrost liczby mieszkańców, wzrost liczby lokali k</w:t>
      </w:r>
      <w:r>
        <w:rPr>
          <w:color w:val="000000"/>
          <w:u w:color="000000"/>
        </w:rPr>
        <w:t>omunalnych, spadek bezrobocia, spadek liczby osób korzystających z pomocy socjalnej, podniesienie kwalifikacji zawodowych bezrobotnych mieszkańców obszaru, stworzenie właściwych warunków do rozwoju dzieci i młodzieży, poprawa stanu technicznego komunalnych</w:t>
      </w:r>
      <w:r>
        <w:rPr>
          <w:color w:val="000000"/>
          <w:u w:color="000000"/>
        </w:rPr>
        <w:t xml:space="preserve"> zasobów mieszkaniowych, dobrze rozwinięta sieć ciepłownicza, rozbudowana sieć kanalizacji wodnej, sanitarnej i deszczowej, poprawa stanu technicznego ciągów pieszych i dróg; urządzenie terenów zielonych oraz miejsc wypoczynku i rekreacji, wzrost aktywnośc</w:t>
      </w:r>
      <w:r>
        <w:rPr>
          <w:color w:val="000000"/>
          <w:u w:color="000000"/>
        </w:rPr>
        <w:t>i gospodarczej mieszkańców, wzrost liczby lokali na potrzeby prowadzenia działalności gospodarczej, wzrost liczby produktów turystycznych w wyniku przywrócenia walorów środowiskowo – kulturowych obszaru.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Poniższa tabela przedstawia stan realizacji wskaźnik</w:t>
      </w:r>
      <w:r>
        <w:rPr>
          <w:color w:val="000000"/>
          <w:u w:color="000000"/>
        </w:rPr>
        <w:t>ów LPR 2023 wg stanu na m-c VI 2023 r.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-Rozliczenie wykonania wskaźników GPR 2023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3"/>
        <w:gridCol w:w="4378"/>
        <w:gridCol w:w="1374"/>
        <w:gridCol w:w="1374"/>
        <w:gridCol w:w="1374"/>
        <w:gridCol w:w="1339"/>
      </w:tblGrid>
      <w:tr w:rsidR="00A916A4">
        <w:trPr>
          <w:trHeight w:val="54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Lp.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Nazwa wskaźnik LPR 2023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J.m.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Plan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Realizacja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Budynki publiczne lub komercyjne wybudowane lub wyremontowane na obszarach miejskich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m</w:t>
            </w:r>
            <w:r>
              <w:rPr>
                <w:sz w:val="24"/>
                <w:vertAlign w:val="superscript"/>
              </w:rPr>
              <w:t>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1405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1405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Długość przebudowanych dróg gminnych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km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0,82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0,82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Liczba obiektów dostosowanych do potrzeb osób niepełnosprawnych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Liczba wspartych obiektów infrastruktury zlokalizowanych na rewitalizowanych obszarach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Liczba zabytków nieruchomych objętych wsparciem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Otwarta przestrzeń utworzona lub rekultywowana na obszarach miejskich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m</w:t>
            </w:r>
            <w:r>
              <w:rPr>
                <w:sz w:val="24"/>
                <w:vertAlign w:val="superscript"/>
              </w:rPr>
              <w:t>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8843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8843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Powierzchnia obszarów objętych rewitalizacją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ha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9,46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9,46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Wyremontowane budynki </w:t>
            </w:r>
            <w:r>
              <w:rPr>
                <w:sz w:val="24"/>
              </w:rPr>
              <w:t>mieszkalne na obszarach miejskich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jedn. mieszk.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lastRenderedPageBreak/>
              <w:t>9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color w:val="000000"/>
                <w:sz w:val="24"/>
                <w:u w:color="000000"/>
              </w:rPr>
              <w:t xml:space="preserve">Nowe lokale komunalne, </w:t>
            </w:r>
            <w:r>
              <w:rPr>
                <w:color w:val="000000"/>
                <w:sz w:val="24"/>
                <w:u w:color="000000"/>
              </w:rPr>
              <w:br/>
              <w:t>w tym: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right"/>
              <w:rPr>
                <w:color w:val="000000"/>
                <w:u w:color="000000"/>
              </w:rPr>
            </w:pPr>
            <w:r>
              <w:rPr>
                <w:color w:val="000000"/>
                <w:sz w:val="24"/>
                <w:u w:color="000000"/>
              </w:rPr>
              <w:t xml:space="preserve">- dostosowane do potrzeb </w:t>
            </w:r>
            <w:r>
              <w:rPr>
                <w:color w:val="000000"/>
                <w:sz w:val="24"/>
                <w:u w:color="000000"/>
              </w:rPr>
              <w:br/>
              <w:t>osób niepełnosprawnych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Nadanie nowych funkcji obiektom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17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Utrzymanie/utworzenie miejsc pracy na obszarze rewitalizowanym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7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28,6%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825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Podłączenie budynków do miejskiej sieci ciepłowniczej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kpl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7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100,0%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Podniesienie kompetencji wychowawczych i świadomości rodzicielskiej oraz poprawa jakości relacji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rodzin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325,0%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Zaspokojenie potrzeb rozwojowych, emocjonalnych i społecznych dzieci i młodzieży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osób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1327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1658,8%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Integracja społeczno-zawodowa osób bezrobotnych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osób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280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0,0%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Wzrost liczby turystów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%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396,0%</w:t>
            </w:r>
          </w:p>
        </w:tc>
      </w:tr>
      <w:tr w:rsidR="00A916A4">
        <w:trPr>
          <w:trHeight w:val="624"/>
        </w:trPr>
        <w:tc>
          <w:tcPr>
            <w:tcW w:w="51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Wzrost liczby </w:t>
            </w:r>
            <w:r>
              <w:rPr>
                <w:sz w:val="24"/>
              </w:rPr>
              <w:t>imprez kulturalnych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%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8,45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169,0%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Źródło: Raport o stanie Miasta za rok 2022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 powyższej tabeli wynika, że zdecydowana większość założonych w poprzednim LPR wskaźników została zrealizowana, w tym w części nawet istotnie przekroczona. Jedynie </w:t>
      </w:r>
      <w:r>
        <w:rPr>
          <w:color w:val="000000"/>
          <w:u w:color="000000"/>
        </w:rPr>
        <w:t>wskaźniki dotyczące rynku pracy nie zostały osiągnięte.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Nie da się jednak ukryć, że wymiar poprzedniego Programu miał zdecydowania infrastrukturalny charakter. Przeprowadzona diagnoza miasta na potrzeby delimitacji obszaru zdegradowanego i obszaru rewitali</w:t>
      </w:r>
      <w:r>
        <w:rPr>
          <w:color w:val="000000"/>
          <w:u w:color="000000"/>
        </w:rPr>
        <w:t>zacji w ramach GPR na lata 2024-2030 wykazała jednoznacznie potrzebę kontynuacji procesu rewitalizacji na znacznie większym obszarze miasta oraz ze szczególnym naciskiem na poprawę w sferze społecznej. Działania zawarte w GPR na lata 2024-2030 są nie tylko</w:t>
      </w:r>
      <w:r>
        <w:rPr>
          <w:color w:val="000000"/>
          <w:u w:color="000000"/>
        </w:rPr>
        <w:t xml:space="preserve"> spójne z poprzednim Programem ale także znacznie rozszerzające co do obszaru jak i społecznych aspektów rewitalizacji Miasta Piotrkowa Trybunalskiego.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4.4.</w:t>
      </w:r>
      <w:r>
        <w:rPr>
          <w:b/>
          <w:color w:val="000000"/>
          <w:u w:color="000000"/>
        </w:rPr>
        <w:t>Strategia rozwoju miasta Piotrków Trybunalski 2030 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Strategia Rozwoju Miasta Piotrków Trybunalski 20</w:t>
      </w:r>
      <w:r>
        <w:rPr>
          <w:i/>
          <w:color w:val="000000"/>
          <w:u w:color="000000"/>
        </w:rPr>
        <w:t>30 </w:t>
      </w:r>
      <w:r>
        <w:rPr>
          <w:color w:val="000000"/>
          <w:u w:color="000000"/>
        </w:rPr>
        <w:t>przyjęta została Uchwałą Rady Miasta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Piotrkowa Trybunalskiego nr XLIX/626/22 dnia 30 marca 2022 r. Na podstawie diagnozy aktualnego stanu Piotrkowa Trybunalskiego, jego sytuacji przestrzennej, gospodarczej</w:t>
      </w:r>
      <w:r>
        <w:rPr>
          <w:color w:val="000000"/>
          <w:u w:color="000000"/>
        </w:rPr>
        <w:br/>
        <w:t>i społecznej oraz uwarunkowań wewnętrznych i ze</w:t>
      </w:r>
      <w:r>
        <w:rPr>
          <w:color w:val="000000"/>
          <w:u w:color="000000"/>
        </w:rPr>
        <w:t>wnętrznych, a także przeprowadzonych warsztatów określono 3 cele strategiczne, którymi są: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I: Inteligentny i zrównoważony rozwój przestrzeni miejskiej.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II: Wzmocnienie gospodarczej i turystycznej atrakcyjności Miasta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CEL III: Budowa aktywnego </w:t>
      </w:r>
      <w:r>
        <w:rPr>
          <w:b/>
          <w:color w:val="000000"/>
          <w:u w:color="000000"/>
        </w:rPr>
        <w:t>społeczeństwa obywatelskiego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ramach powyższych celów strategicznych następujące cele operacyjne wprost wpisują się</w:t>
      </w:r>
      <w:r>
        <w:rPr>
          <w:color w:val="000000"/>
          <w:u w:color="000000"/>
        </w:rPr>
        <w:br/>
        <w:t>w zdiagnozowaną problematykę obszaru rewitalizacji: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1.1Uporządkowana gospodarka przestrzenna podstawą stabilnego rozwoju przestrzeni miejsk</w:t>
      </w:r>
      <w:r>
        <w:rPr>
          <w:color w:val="000000"/>
          <w:u w:color="000000"/>
        </w:rPr>
        <w:t>iej i narzędziem zapobiegania suburbanizacji.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1.2. Bezpieczna i nowoczesna infrastruktura drogowa oraz zintegrowany transport publiczny jako podstawowe determinanty dostępności i rozwoju Miasta,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1.3. Miasto Zielone – ochrona środowiska i adaptacja do zmian</w:t>
      </w:r>
      <w:r>
        <w:rPr>
          <w:color w:val="000000"/>
          <w:u w:color="000000"/>
        </w:rPr>
        <w:t xml:space="preserve"> klimatu warunkiem wysokiej jakości życia mieszkańców,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1.4.Przestrzeń miejska po rewitalizacji – bezpieczna i sprzyjająca przeciwdziałaniu wykluczeniu społecznemu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2.1. Rozwój przedsiębiorczości i aktywizacja zawodowa mieszkańców,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2.2. Piotrków Trybunalski </w:t>
      </w:r>
      <w:r>
        <w:rPr>
          <w:color w:val="000000"/>
          <w:u w:color="000000"/>
        </w:rPr>
        <w:t>miastem atrakcyjnym dla turystów,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2.3. Wzrost atrakcyjności Miasta poprzez zagospodarowanie terenów nad zbiornikiem Bugaj,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2.4. Aktywny Piotrków – wzrost aktywności fizycznej, możliwości wypoczynku i rekreacji oraz ochrony zdrowia mieszkańców,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3.2. Ogranic</w:t>
      </w:r>
      <w:r>
        <w:rPr>
          <w:color w:val="000000"/>
          <w:u w:color="000000"/>
        </w:rPr>
        <w:t>zenie problemu ubóstwa i wykluczenia społecznego,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3.3. Szeroki udział mieszkańców w życiu kulturalnym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4.5.</w:t>
      </w:r>
      <w:r>
        <w:rPr>
          <w:b/>
          <w:color w:val="000000"/>
          <w:u w:color="000000"/>
        </w:rPr>
        <w:t xml:space="preserve">Studium uwarunkowań i kierunków zagospodarowania przestrzennego miasta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Podstawą prowadzenia polityki przestrzennej w mieście jest Studium uwa</w:t>
      </w:r>
      <w:r>
        <w:rPr>
          <w:color w:val="000000"/>
          <w:u w:color="000000"/>
        </w:rPr>
        <w:t>runkowań</w:t>
      </w:r>
      <w:r>
        <w:rPr>
          <w:color w:val="000000"/>
          <w:u w:color="000000"/>
        </w:rPr>
        <w:br/>
        <w:t>i kierunków zagospodarowania przestrzennego miasta Piotrkowa Trybunalskiego przyjęte Uchwałą Nr XLIX/837/06 Rady Miasta w Piotrkowie Trybunalskim z dnia 29 marca 2006 roku</w:t>
      </w:r>
      <w:r>
        <w:rPr>
          <w:color w:val="000000"/>
          <w:u w:color="000000"/>
        </w:rPr>
        <w:br/>
        <w:t>z późniejszymi zmianami przyjętymi Uchwałą XIV/297/11 z dnia 30 listopada 2</w:t>
      </w:r>
      <w:r>
        <w:rPr>
          <w:color w:val="000000"/>
          <w:u w:color="000000"/>
        </w:rPr>
        <w:t>011 roku, Uchwałą Nr XXVII/359/16 z dnia 26 października 2016 roku, Uchwałą Nr XLVII/566/17</w:t>
      </w:r>
      <w:r>
        <w:rPr>
          <w:color w:val="000000"/>
          <w:u w:color="000000"/>
        </w:rPr>
        <w:br/>
        <w:t>z dnia 25 października 2017 roku oraz Uchwałą Nr XLIX/625/22 z dnia 30 marca 2022 roku.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celu oceny aktualności studium i planów miejscowych Prezydent Miasta dokon</w:t>
      </w:r>
      <w:r>
        <w:rPr>
          <w:color w:val="000000"/>
          <w:u w:color="000000"/>
        </w:rPr>
        <w:t>uje analizy zmian w zagospodarowaniu przestrzennym, ocenia postępy w opracowywaniu planów miejscowych i opracowuje wieloletnie programy ich sporządzania w nawiązaniu do ustaleń studium, z uwzględnieniem wydanych decyzji oraz wniosków w sprawie sporządzenia</w:t>
      </w:r>
      <w:r>
        <w:rPr>
          <w:color w:val="000000"/>
          <w:u w:color="000000"/>
        </w:rPr>
        <w:t xml:space="preserve"> lub zmiany planu miejscowego. Postępowanie to uregulowane jest w art. 32 ustawy z dnia 27 marca 2003 roku o planowaniu i zagospodarowaniu przestrzennym, zgodnie z którym opracowana została aktualność Studium uwarunkowań i kierunków zagospodarowania przest</w:t>
      </w:r>
      <w:r>
        <w:rPr>
          <w:color w:val="000000"/>
          <w:u w:color="000000"/>
        </w:rPr>
        <w:t>rzennego miasta Piotrkowa Trybunalskiego, stanowiąca podstawę do kształtowania polityki przestrzennej gminy w kolejnych latach.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ww. ustawą wyniki aktualności podlegają przyjęciu przez Radę Miasta w drodze uchwały, po uprzednim zasięgnięciu opinii</w:t>
      </w:r>
      <w:r>
        <w:rPr>
          <w:color w:val="000000"/>
          <w:u w:color="000000"/>
        </w:rPr>
        <w:t xml:space="preserve"> Miejskiej Komisji Urbanistyczno – Architektonicznej, która wydała pozytywną opinię. W dniu 30 stycznia 2019 roku Rada Miasta Piotrkowa Trybunalskiego podjęła Uchwałą Nr IV/45/19 w sprawie aktualności Studium uwarunkowań i kierunków zagospodarowania przest</w:t>
      </w:r>
      <w:r>
        <w:rPr>
          <w:color w:val="000000"/>
          <w:u w:color="000000"/>
        </w:rPr>
        <w:t>rzennego miasta Piotrkowa Trybunalskiego.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Wyniki analizy wskazują na: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Konieczność sporządzenia całościowego ujednoliconego Studium uwarunkowań i kierunków zagospodarowania przestrzennego miasta Piotrkowa Trybunalskiego;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 xml:space="preserve">Potrzebę kontynuacji prac nad </w:t>
      </w:r>
      <w:r>
        <w:rPr>
          <w:color w:val="000000"/>
          <w:u w:color="000000"/>
        </w:rPr>
        <w:t>aktualizacją i opracowywaniem miejscowych planów zagospodarowania, z uwzględnieniem aktualnych potrzeb przestrzennego rozwoju Piotrkowa Trybunalskiego.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Wskazania wynikającego z GPR zakresu niezbędnych zmian w studium uwarunkowań</w:t>
      </w:r>
      <w:r>
        <w:rPr>
          <w:color w:val="000000"/>
          <w:u w:color="000000"/>
        </w:rPr>
        <w:br/>
        <w:t>i kierunków zagospodarowani</w:t>
      </w:r>
      <w:r>
        <w:rPr>
          <w:color w:val="000000"/>
          <w:u w:color="000000"/>
        </w:rPr>
        <w:t>a przestrzennego miasta zostały opisane w rozdziale 14.3.1 Programu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4.6.</w:t>
      </w:r>
      <w:r>
        <w:rPr>
          <w:b/>
          <w:color w:val="000000"/>
          <w:u w:color="000000"/>
        </w:rPr>
        <w:t xml:space="preserve">Miejscowe plany zagospodarowania przestrzennego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art. 3 ust. 1 ustawy z dnia 27 marca 2003 roku o planowaniu i zagospodarowaniu przestrzennym (Dz.U. z 2023 r. poz. 977, poz. </w:t>
      </w:r>
      <w:r>
        <w:rPr>
          <w:color w:val="000000"/>
          <w:u w:color="000000"/>
        </w:rPr>
        <w:t>1506, poz. 1597, poz. 1688, poz. 1890, poz. 2029) „Kształtowanie i prowadzenie polityki przestrzennej na terenie gminy, w tym uchwalanie gminnych aktów planowania przestrzennego, z wyjątkiem morskich wód wewnętrznych, morza terytorialnego i wyłącznej stref</w:t>
      </w:r>
      <w:r>
        <w:rPr>
          <w:color w:val="000000"/>
          <w:u w:color="000000"/>
        </w:rPr>
        <w:t>y ekonomicznej oraz terenów zamkniętych ustalonych przez organ inny niż minister właściwy do spraw transportu, należy do zadań własnych gminy”.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art. 4 ust. 2 ustawy o planowaniu i zagospodarowaniu przestrzennym</w:t>
      </w:r>
      <w:r>
        <w:rPr>
          <w:color w:val="000000"/>
          <w:u w:color="000000"/>
        </w:rPr>
        <w:br/>
        <w:t>„W przypadku braku miejscowego plan</w:t>
      </w:r>
      <w:r>
        <w:rPr>
          <w:color w:val="000000"/>
          <w:u w:color="000000"/>
        </w:rPr>
        <w:t>u zagospodarowania przestrzennego określenie sposobów zagospodarowania i warunków zabudowy terenu następuje w drodze decyzji</w:t>
      </w:r>
      <w:r>
        <w:rPr>
          <w:color w:val="000000"/>
          <w:u w:color="000000"/>
        </w:rPr>
        <w:br/>
        <w:t>o warunkach zabudowy i zagospodarowania terenu.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Wskazanie miejscowych planów zagospodarowania przestrzennego koniecznych do uchwale</w:t>
      </w:r>
      <w:r>
        <w:rPr>
          <w:color w:val="000000"/>
          <w:u w:color="000000"/>
        </w:rPr>
        <w:t>nia albo zmiany w związku z przyjęciem niniejszego Programu zawarto w rozdziale 14.3.2.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4.7.</w:t>
      </w:r>
      <w:r>
        <w:rPr>
          <w:b/>
          <w:color w:val="000000"/>
          <w:u w:color="000000"/>
        </w:rPr>
        <w:t xml:space="preserve">Gminny program opieki nad zabytkami miasta Piotrkowa Trybunalskiego na lata 2020–2023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Gminny program opieki nad zabytkami miasta Piotrkowa Trybunalskiego na lata </w:t>
      </w:r>
      <w:r>
        <w:rPr>
          <w:color w:val="000000"/>
          <w:u w:color="000000"/>
        </w:rPr>
        <w:t xml:space="preserve">2020 – 2023 przyjęty został uchwałą nr XXI/325/20 Rady Miasta Piotrkowa Trybunalskiego z dnia 27 maja 2020 r. Jego treść dostępna jest na stronie internetowej Miasta www.piotrkow.pl w Biuletynie Informacji Publicznej w zakładce „Prawo lokalne” – „Programy </w:t>
      </w:r>
      <w:r>
        <w:rPr>
          <w:color w:val="000000"/>
          <w:u w:color="000000"/>
        </w:rPr>
        <w:t>i strategie”, bądź bezpośrednio w Elektronicznym Dzienniku Urzędowym Województwa Łódzkiego za rok 2020 pod pozycją nr 3637 (Dz.U. z 2020 poz. 3637). W chwili opracowania i uchwalania GPR na lata 2024-2030, Gminny program opieki nad zabytkami miasta Piotrko</w:t>
      </w:r>
      <w:r>
        <w:rPr>
          <w:color w:val="000000"/>
          <w:u w:color="000000"/>
        </w:rPr>
        <w:t>wa Trybunalskiego na lata 2020 – 2023 był dokumentem aktualnym i obowiązującym.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Głównym celem realizacji programu jest poprawa stanu obiektów ujętych w gminnej ewidencji zabytków, podniesienie ich rangi oraz kształtowanie produktów regionalnych</w:t>
      </w:r>
      <w:r>
        <w:rPr>
          <w:color w:val="000000"/>
          <w:u w:color="000000"/>
        </w:rPr>
        <w:br/>
        <w:t>i wzmocnien</w:t>
      </w:r>
      <w:r>
        <w:rPr>
          <w:color w:val="000000"/>
          <w:u w:color="000000"/>
        </w:rPr>
        <w:t>ie tradycji etnograficznych, co z kolei wpływa na aktywizację mieszkańców</w:t>
      </w:r>
      <w:r>
        <w:rPr>
          <w:color w:val="000000"/>
          <w:u w:color="000000"/>
        </w:rPr>
        <w:br/>
        <w:t>w działaniach na rzecz zachowania regionalnego dziedzictwa.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programie wskazane zostały działania dążące do poprawy stanu zabytków, ich adaptacji</w:t>
      </w:r>
      <w:r>
        <w:rPr>
          <w:color w:val="000000"/>
          <w:u w:color="000000"/>
        </w:rPr>
        <w:br/>
        <w:t>i rewaloryzacji oraz zwiększenia do</w:t>
      </w:r>
      <w:r>
        <w:rPr>
          <w:color w:val="000000"/>
          <w:u w:color="000000"/>
        </w:rPr>
        <w:t>stępności do nich mieszkańców i turystów. Dokument uwzględnia uwarunkowania prawne, zewnętrzne oraz wewnętrzne w zakresie ochrony materialnego i niematerialnego dziedzictwa kulturowego. Realizacja celów zawartych</w:t>
      </w:r>
      <w:r>
        <w:rPr>
          <w:color w:val="000000"/>
          <w:u w:color="000000"/>
        </w:rPr>
        <w:br/>
        <w:t>w Gminnym programie opieki nad zabytkami Mi</w:t>
      </w:r>
      <w:r>
        <w:rPr>
          <w:color w:val="000000"/>
          <w:u w:color="000000"/>
        </w:rPr>
        <w:t>asta Piotrkowa Trybunalskiego ma na celu poprawę w lokalnej społeczności świadomości wspólnoty kulturowej, wzmocnienie lokalnych wartości oraz wspólnych korzeni. Są to działania spójne z celami GPR.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Wpływ GPR na ochronę zabytków opisano w rozdziale 14.6 Pr</w:t>
      </w:r>
      <w:r>
        <w:rPr>
          <w:color w:val="000000"/>
          <w:u w:color="000000"/>
        </w:rPr>
        <w:t>ogramu.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4.8.</w:t>
      </w:r>
      <w:r>
        <w:rPr>
          <w:b/>
          <w:color w:val="000000"/>
          <w:u w:color="000000"/>
        </w:rPr>
        <w:t xml:space="preserve">Program gospodarowania mieszkaniowym zasobem gminy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Według stanu na dzień 31.12.2022 r. Miasto Piotrków Trybunalski posiada 255 budynków mieszkalnych z 2.257 lokalami mieszkalnymi.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przedmiotowym zasobie 3 budynki z 42 lokalami mieszkalnymi są</w:t>
      </w:r>
      <w:r>
        <w:rPr>
          <w:color w:val="000000"/>
          <w:u w:color="000000"/>
        </w:rPr>
        <w:t xml:space="preserve"> czasowo wyłączone</w:t>
      </w:r>
      <w:r>
        <w:rPr>
          <w:color w:val="000000"/>
          <w:u w:color="000000"/>
        </w:rPr>
        <w:br/>
        <w:t>z użytkowania z uwagi na zły stan techniczny.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Ponadto Miasto posiada 1.128 lokali mieszkalnych w 113 budynkach stanowiących własność wspólnot mieszkaniowych, w których Miasto posiada udziały w nieruchomości wspólnej. Sprzedaż lokali wcho</w:t>
      </w:r>
      <w:r>
        <w:rPr>
          <w:color w:val="000000"/>
          <w:u w:color="000000"/>
        </w:rPr>
        <w:t>dzących w skład mieszkaniowego zasobu Miasta w pierwszej kolejności dotyczy lokali położonych w budynkach wspólnot i odbywa się zgodnie z zasadami określonymi stosowną uchwałą Rady Miasta Piotrkowa Trybunalskiego w sprawie zasad sprzedaży tych lokali na rz</w:t>
      </w:r>
      <w:r>
        <w:rPr>
          <w:color w:val="000000"/>
          <w:u w:color="000000"/>
        </w:rPr>
        <w:t>ecz najemców w trybie bez przetargowym. Łącznie na zasób mieszkaniowy Miasta Piotrkowa Trybunalskiego składa się 3.385 lokali mieszkalnych.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Miasto prowadzi bieżącą politykę remontowo-modernizacyjną posiadanych zasobów mieszkaniowych. Przykładowo w roku 202</w:t>
      </w:r>
      <w:r>
        <w:rPr>
          <w:color w:val="000000"/>
          <w:u w:color="000000"/>
        </w:rPr>
        <w:t>2 wydatki remontowe w tym zakresie wyniosły ponad 2,6 mln zł a modernizacyjne ponad 3,8 mln zł.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Cele GPR są komplementarne z prowadzoną przez Miasto polityką w zakresie posiadanych zasobów mieszkaniowych. Ich realizacja wpisuje się w zdiagnozowane na obsza</w:t>
      </w:r>
      <w:r>
        <w:rPr>
          <w:color w:val="000000"/>
          <w:u w:color="000000"/>
        </w:rPr>
        <w:t>rze rewitalizacji problemy.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4.9.</w:t>
      </w:r>
      <w:r>
        <w:rPr>
          <w:b/>
          <w:color w:val="000000"/>
          <w:u w:color="000000"/>
        </w:rPr>
        <w:t xml:space="preserve">Plan Gospodarki Niskoemisyjnej dla miasta Piotrkowa Trybunalskiego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Plan Gospodarki Niskoemisyjnej dla Miasta Piotrkowa Trybunalskiego został przyjęty Uchwałą nr XVI/216/15 Rady Miasta Piotrkowa Trybunalskiego z dnia 25 list</w:t>
      </w:r>
      <w:r>
        <w:rPr>
          <w:color w:val="000000"/>
          <w:u w:color="000000"/>
        </w:rPr>
        <w:t>opada 2015 r. i zaktualizowany Uchwałą nr XXXIV/440/17 Rady Miasta Piotrkowa Trybunalskiego z dnia 22 lutego 2017 r. oraz Uchwałą Nr X/161/19 Rady Miasta Piotrkowa Trybunalskiego z dnia 28 sierpnia 2019 r.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 chwili uchwalenia GPR na lata 2024-2030 nie prz</w:t>
      </w:r>
      <w:r>
        <w:rPr>
          <w:color w:val="000000"/>
          <w:u w:color="000000"/>
        </w:rPr>
        <w:t>yjęto jakiejkolwiek dalszej aktualizacji PGN.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Celem Planu Gospodarki Niskoemisyjnej dla Miasta jest przedstawienie zakresu działań możliwych do realizacji, w związku z ograniczeniem zużycia energii finalnej we wszystkich sektorach na terenie miasta, a co z</w:t>
      </w:r>
      <w:r>
        <w:rPr>
          <w:color w:val="000000"/>
          <w:u w:color="000000"/>
        </w:rPr>
        <w:t>a tym idzie z redukcją emisji gazów cieplarnianych, w tym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CO2.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Cel ten jest możliwy do osiągnięcia poprzez realizację następujących celów szczegółowych: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lastRenderedPageBreak/>
        <w:t>- </w:t>
      </w:r>
      <w:r>
        <w:rPr>
          <w:color w:val="000000"/>
          <w:u w:color="000000"/>
        </w:rPr>
        <w:t>promowanie gospodarki niskoemisyjnej,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efektywne gospodarowanie energią,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zwiększenie udziału energ</w:t>
      </w:r>
      <w:r>
        <w:rPr>
          <w:color w:val="000000"/>
          <w:u w:color="000000"/>
        </w:rPr>
        <w:t>ii pochodzącej ze źródeł odnawialnych,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redukcja gazowych i pyłowych zanieczyszczeń powietrza, w tym CO2,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podniesienie świadomości ekologicznej mieszkańców.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Gospodarka niskoemisyjna skutkująca poprawą jakości środowiska naturalnego wpisuje się </w:t>
      </w:r>
      <w:r>
        <w:rPr>
          <w:color w:val="000000"/>
          <w:u w:color="000000"/>
        </w:rPr>
        <w:t>w zdiagnozowane na obszarze rewitalizacji problemy w tym zakresie. Wysoki poziom zanieczyszczeń powietrza zdiagnozowano jako stan kryzysowy we wszystkich 3-ch podobszarach rewitalizacji. Zawarte w GPR działania skierowane na poprawę tego stanu w bezpośredn</w:t>
      </w:r>
      <w:r>
        <w:rPr>
          <w:color w:val="000000"/>
          <w:u w:color="000000"/>
        </w:rPr>
        <w:t>i sposób wpisują się w realizację celów PGN.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Gminny Program Rewitalizacji dla miasta Piotrków Trybunalski na lata 2024-2030 przewiduje realizację szeregu przedsięwzięć termo modernizacyjnych pozytywnie wpisujących się w realizację celów PGN.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4.10.</w:t>
      </w:r>
      <w:r>
        <w:rPr>
          <w:b/>
          <w:color w:val="000000"/>
          <w:u w:color="000000"/>
        </w:rPr>
        <w:t>Program o</w:t>
      </w:r>
      <w:r>
        <w:rPr>
          <w:b/>
          <w:color w:val="000000"/>
          <w:u w:color="000000"/>
        </w:rPr>
        <w:t>chrony środowiska dla miasta Piotrkowa Trybunalskiego na lata 2021- 2024 z perspektywą do roku 2028 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Program Ochrony Środowiska dla miasta Piotrkowa Trybunalskiego na lata 2021 – 2024 z perspektywą do roku 2028” został przyjęty Uchwałą nr XXXII/439/21 Rady</w:t>
      </w:r>
      <w:r>
        <w:rPr>
          <w:color w:val="000000"/>
          <w:u w:color="000000"/>
        </w:rPr>
        <w:t xml:space="preserve"> Miasta Piotrkowa Trybunalskiego z dnia 27 stycznia 2021 roku.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Wyznaczono główne obszary działania i priorytety zmierzające do poprawy sytuacji w zakresie ochrony środowiska.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W ramach tego programu przyjęto między innymi następujące, spójne z celami GPR, d</w:t>
      </w:r>
      <w:r>
        <w:rPr>
          <w:color w:val="000000"/>
          <w:u w:color="000000"/>
        </w:rPr>
        <w:t>ziałania priorytetowe: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Zachowanie i wzbogacanie walorów przyrodniczych,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Zagospodarowanie zielenią terenów zmienionych przez czynniki antropogeniczne,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Wzrost świadomości ekologicznej w społeczeństwie,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Zakaz zabudowy w strefach: ochrony ekologicznej,</w:t>
      </w:r>
      <w:r>
        <w:rPr>
          <w:color w:val="000000"/>
          <w:u w:color="000000"/>
        </w:rPr>
        <w:t xml:space="preserve"> wartości rolniczych, ochronnych cmentarzy, oddziaływania obiektów infrastruktury technicznej, na terenach leśnych i obszarach postulowanych do zalesienia,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Rozszerzenie oferty rekreacyjno-turystycznej,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Rozwój zieleni miejskiej,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Rekultywacja terenów z</w:t>
      </w:r>
      <w:r>
        <w:rPr>
          <w:color w:val="000000"/>
          <w:u w:color="000000"/>
        </w:rPr>
        <w:t>degradowanych i zdewastowanych przyrodniczo,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Osiągnięcie standardów jakości powietrza,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Prowadzenie edukacji na rzecz zrównoważonego rozwoju, dotyczącej wszystkich elementów środowiska,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Wzrost wrażliwości i aktywności społeczeństwa oraz większe zaanga</w:t>
      </w:r>
      <w:r>
        <w:rPr>
          <w:color w:val="000000"/>
          <w:u w:color="000000"/>
        </w:rPr>
        <w:t>żowanie w sprawy ochrony środowiska,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Modernizacja przestrzeni i struktury funkcjonalnej miasta poprzez efektywne zarządzanie i właściwe użytkowanie przestrzenne miasta zapewniające utrzymanie ładu przestrzennego,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Modernizacja i rozwój infrastruktury.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K</w:t>
      </w:r>
      <w:r>
        <w:rPr>
          <w:color w:val="000000"/>
          <w:u w:color="000000"/>
        </w:rPr>
        <w:t>ierunki działania w ramach Programu, w tym w szczególności kierunki 3.1 i 3.2 są komplementarne z powyższymi działaniami priorytetowymi.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4.11.</w:t>
      </w:r>
      <w:r>
        <w:rPr>
          <w:b/>
          <w:color w:val="000000"/>
          <w:u w:color="000000"/>
        </w:rPr>
        <w:t xml:space="preserve">Strategia rozwiązywania problemów społecznych dla miasta Piotrkowa Trybunalskiego na lata 2021–2030 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„Strategia Ro</w:t>
      </w:r>
      <w:r>
        <w:rPr>
          <w:color w:val="000000"/>
          <w:u w:color="000000"/>
        </w:rPr>
        <w:t>związywania Problemów Społecznych dla Miasta Piotrkowa Trybunalskiego na lata 2021–2030” została przyjęta Uchwałą nr XXXVI/486/21 Rady Miasta Piotrkowa Trybunalskiego z dnia 26 maja 2021 r.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Kierunki działań Strategii to: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rPr>
          <w:b/>
        </w:rPr>
        <w:t>I. </w:t>
      </w:r>
      <w:r>
        <w:rPr>
          <w:color w:val="000000"/>
          <w:u w:color="000000"/>
        </w:rPr>
        <w:t xml:space="preserve">Wsparcie osób niesamodzielnych, </w:t>
      </w:r>
      <w:r>
        <w:rPr>
          <w:color w:val="000000"/>
          <w:u w:color="000000"/>
        </w:rPr>
        <w:t>rodzin, dzieci i młodzieży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rPr>
          <w:b/>
        </w:rPr>
        <w:lastRenderedPageBreak/>
        <w:t>II. </w:t>
      </w:r>
      <w:r>
        <w:rPr>
          <w:color w:val="000000"/>
          <w:u w:color="000000"/>
        </w:rPr>
        <w:t>Praca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rPr>
          <w:b/>
        </w:rPr>
        <w:t>III. </w:t>
      </w:r>
      <w:r>
        <w:rPr>
          <w:color w:val="000000"/>
          <w:u w:color="000000"/>
        </w:rPr>
        <w:t>Ochrona zdrowia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rPr>
          <w:b/>
        </w:rPr>
        <w:t>IV. </w:t>
      </w:r>
      <w:r>
        <w:rPr>
          <w:color w:val="000000"/>
          <w:u w:color="000000"/>
        </w:rPr>
        <w:t>Bezpieczeństwo społeczne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rPr>
          <w:b/>
        </w:rPr>
        <w:t>V. </w:t>
      </w:r>
      <w:r>
        <w:rPr>
          <w:color w:val="000000"/>
          <w:u w:color="000000"/>
        </w:rPr>
        <w:t>Kultura i czas wolny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Strategia określa m.in. następujące cele strategiczne: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 xml:space="preserve">Tworzenie systemu działań przeciwdziałających wykluczeniu społecznemu, marginalizacji </w:t>
      </w:r>
      <w:r>
        <w:rPr>
          <w:color w:val="000000"/>
          <w:u w:color="000000"/>
        </w:rPr>
        <w:t>i instytucjonalizacji seniorów oraz osób niepełnosprawnych (DPS, DDPS Mam Sąsiada, ŚDS)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Wsparcie rozwoju dziecka i jego rodziny w działaniach wychowawczych (DD, ŻM, Bartek)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Poprawa jakości życia i funkcjonowania osób i rodzin (PO, MOPR)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Aktywizacj</w:t>
      </w:r>
      <w:r>
        <w:rPr>
          <w:color w:val="000000"/>
          <w:u w:color="000000"/>
        </w:rPr>
        <w:t>a zawodowa mieszkańców Piotrkowa Trybunalskiego pozostających bez pracy (PUP)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Przeciwdziałanie zjawiskom bezrobocia, ubóstwa i wykluczenia społecznego mieszkańców miasta Piotrkowa Trybunalskiego (CIiPKZ)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color w:val="000000"/>
          <w:u w:color="000000"/>
        </w:rPr>
        <w:t>Poprawa stanu bezpieczeństwa mieszkańców miast</w:t>
      </w:r>
      <w:r>
        <w:rPr>
          <w:color w:val="000000"/>
          <w:u w:color="000000"/>
        </w:rPr>
        <w:t>a Piotrkowa Trybunalskiego (KMP,SM, ZDiUM)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10. </w:t>
      </w:r>
      <w:r>
        <w:rPr>
          <w:color w:val="000000"/>
          <w:u w:color="000000"/>
        </w:rPr>
        <w:t>Zaspokajanie potrzeb mieszkaniowych i zapewnienie godnego życia mieszkańcom (TBS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i UM)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12. </w:t>
      </w:r>
      <w:r>
        <w:rPr>
          <w:color w:val="000000"/>
          <w:u w:color="000000"/>
        </w:rPr>
        <w:t>Zwiększanie udziału osób starszych w życiu kulturalnym (Biblioteka, Uniwersytet III Wieku, MOK, ODA)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13. </w:t>
      </w:r>
      <w:r>
        <w:rPr>
          <w:color w:val="000000"/>
          <w:u w:color="000000"/>
        </w:rPr>
        <w:t>Zapewnienie m</w:t>
      </w:r>
      <w:r>
        <w:rPr>
          <w:color w:val="000000"/>
          <w:u w:color="000000"/>
        </w:rPr>
        <w:t>ożliwości dzieciom, młodzieży i osobom dorosłym aktywnego spędzania wolnego czasu (OSiR, CIT, ODA, Państwowa Szkoła Muzyczna, Muzeum)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Realizacja wybranych powyżej celów Strategii stanowić będzie wespół z zaprogramowanymi przedsięwzięciami rewitalizacyjnymi</w:t>
      </w:r>
      <w:r>
        <w:rPr>
          <w:color w:val="000000"/>
          <w:u w:color="000000"/>
        </w:rPr>
        <w:t xml:space="preserve"> spójną odpowiedź na zdiagnozowane problemy w sferze społecznej na obszarze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4.12.</w:t>
      </w:r>
      <w:r>
        <w:rPr>
          <w:b/>
          <w:color w:val="000000"/>
          <w:u w:color="000000"/>
        </w:rPr>
        <w:t xml:space="preserve">Powiatowy program działań na rzecz osób niepełnosprawnych miasta Piotrkowa Trybunalskiego na lata 2021–2030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„Powiatowy program działań na rzecz osób niepełnosp</w:t>
      </w:r>
      <w:r>
        <w:rPr>
          <w:color w:val="000000"/>
          <w:u w:color="000000"/>
        </w:rPr>
        <w:t>rawnych Miasta Piotrkowa Trybunalskiego na lata 2021–2030” przyjęty został Uchwałą Nr XLIII/540/21 Rady Miasta Piotrkowa Trybunalskiego z dnia 29 września 2021 roku.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Głównym celem Programu jest poprawa jakości życia osób niepełnosprawnych poprzez zapewnien</w:t>
      </w:r>
      <w:r>
        <w:rPr>
          <w:color w:val="000000"/>
          <w:u w:color="000000"/>
        </w:rPr>
        <w:t>ie im warunków do samodzielnego, pełnego i czynnego uczestnictwa w życiu społecznym i zawodowym.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Działania określone w Programie mają na celu aktywizację osób niepełnosprawnych w życiu zawodowym, społecznym, kulturalnym, zwiększenia świadomości o przysługu</w:t>
      </w:r>
      <w:r>
        <w:rPr>
          <w:color w:val="000000"/>
          <w:u w:color="000000"/>
        </w:rPr>
        <w:t>jących prawach, kształtowanie pozytywnych postaw wobec osób niepełnosprawnych. Program ma charakter otwarty. W trakcie jego realizacji jest możliwość poszerzania programu o nowe obszary</w:t>
      </w:r>
      <w:r>
        <w:rPr>
          <w:color w:val="000000"/>
          <w:u w:color="000000"/>
        </w:rPr>
        <w:br/>
        <w:t>i zadania w zależności od zaistniałych potrzeb. Odbiorcami Programu są</w:t>
      </w:r>
      <w:r>
        <w:rPr>
          <w:color w:val="000000"/>
          <w:u w:color="000000"/>
        </w:rPr>
        <w:t xml:space="preserve"> osoby niepełnosprawne i ich rodziny zamieszkałe na terenie Miasta Piotrkowa Trybunalskiego ale też instytucje i organizacje zajmujące się problematyką niepełnosprawności w Piotrkowie Trybunalskim. Oczekiwany efekt realizacji programu to poprawa jakości ży</w:t>
      </w:r>
      <w:r>
        <w:rPr>
          <w:color w:val="000000"/>
          <w:u w:color="000000"/>
        </w:rPr>
        <w:t>cia osób niepełnosprawnych na terenie Miasta Piotrkowa Trybunalskiego poprzez polepszenie dostępu osób niepełnosprawnych do edukacji, rynku pracy, życia społeczno-kulturalnego.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obszarze rewitalizacji zdiagnozowano w sferze społecznej m.in. niską dostępn</w:t>
      </w:r>
      <w:r>
        <w:rPr>
          <w:color w:val="000000"/>
          <w:u w:color="000000"/>
        </w:rPr>
        <w:t>ość dla osób ze specjalnymi potrzebami. Realizacja celu Powiatowego programu wychodzi więc naprzeciw zdiagnozowanym na obszarze rewitalizacji problemom w tym zakresie oraz znajduje odzwierciedlenie w szeregu przedsięwzięć rewitalizacyjnych w Programie.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4.1</w:t>
      </w:r>
      <w:r>
        <w:rPr>
          <w:color w:val="000000"/>
          <w:u w:color="000000"/>
        </w:rPr>
        <w:t>3.</w:t>
      </w:r>
      <w:r>
        <w:rPr>
          <w:b/>
          <w:color w:val="000000"/>
          <w:u w:color="000000"/>
        </w:rPr>
        <w:t xml:space="preserve">Program przeciwdziałania przemocy w rodzinie oraz ochrony ofiar przemocy w rodzinie dla miasta Piotrków Trybunalski na lata 2021–2030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Program Przeciwdziałania Przemocy w Rodzinie oraz Ochrony Ofiar Przemocy w Rodzinie dla Miasta Piotrków Trybunalski na </w:t>
      </w:r>
      <w:r>
        <w:rPr>
          <w:color w:val="000000"/>
          <w:u w:color="000000"/>
        </w:rPr>
        <w:t>lata 2021–2030 został przyjęty Uchwałą Rady Miasta Piotrkowa Trybunalskiego Nr XXXIV/470/21 z dnia 31 marca 2021 roku (z późn. zm.).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Cele programu stanowią odpowiedź na zdiagnozowane na obszarze rewitalizacji problemy</w:t>
      </w:r>
      <w:r>
        <w:rPr>
          <w:color w:val="000000"/>
          <w:u w:color="000000"/>
        </w:rPr>
        <w:br/>
        <w:t>i zjawiska przemocy w rodzinie.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Cele P</w:t>
      </w:r>
      <w:r>
        <w:rPr>
          <w:color w:val="000000"/>
          <w:u w:color="000000"/>
        </w:rPr>
        <w:t>rogramu przeciwdziałania przemocy to: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Podniesienie świadomości społecznej na temat zjawiska przemocy w rodzinie i możliwości uzyskania pomocy,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▪ Zwiększenie kompetencji zawodowych pracowników służb i instytucji zajmujących się przeciwdziałaniem przemocy </w:t>
      </w:r>
      <w:r>
        <w:rPr>
          <w:color w:val="000000"/>
          <w:u w:color="000000"/>
        </w:rPr>
        <w:t>w rodzinie,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Budowanie lokalnego systemu przeciwdziałania przemocy,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Monitorowanie zjawiska przemocy w rodzinie,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Zapewnienie możliwości profesjonalnego wsparcia dla ofiar i sprawców przemocy.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ramach Programu realizowane będą przedsięwzięcia </w:t>
      </w:r>
      <w:r>
        <w:rPr>
          <w:color w:val="000000"/>
          <w:u w:color="000000"/>
        </w:rPr>
        <w:t>stanowiące odpowiedź na zdiagnozowane na obszarze rewitalizacji problemy przemocy w rodzinie.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b/>
          <w:color w:val="000000"/>
          <w:u w:color="000000"/>
        </w:rPr>
        <w:t>Szczegółowa analiza obszaru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bazie przeprowadzonej diagnozy, przeprowadzono podsumowanie zebranych wyników dla wyznaczonego obszaru rewitalizac</w:t>
      </w:r>
      <w:r>
        <w:rPr>
          <w:color w:val="000000"/>
          <w:u w:color="000000"/>
        </w:rPr>
        <w:t xml:space="preserve">ji </w:t>
      </w:r>
      <w:r>
        <w:rPr>
          <w:b/>
          <w:color w:val="000000"/>
          <w:u w:color="000000"/>
        </w:rPr>
        <w:t>wg stanu na koniec roku 2021</w:t>
      </w:r>
      <w:r>
        <w:rPr>
          <w:color w:val="000000"/>
          <w:u w:color="000000"/>
        </w:rPr>
        <w:t>, zachowując metodologiczną spójność z przeprowadzoną wcześniej diagnozą a także kierując się dostępnością wiarygodnych danych statystycznych w chwili opracowywania dokumentu. Ponadto poszerzono analizę dla wyznaczonych podob</w:t>
      </w:r>
      <w:r>
        <w:rPr>
          <w:color w:val="000000"/>
          <w:u w:color="000000"/>
        </w:rPr>
        <w:t xml:space="preserve">szarów rewitalizacji o stan istniejący i potencjały obszaru rewitalizacji z wykorzystaniem danych pochodzących z obowiązujących dokumentów planistycznych i strategicznych przy wykorzystaniu wyników przeprowadzonych działań w ramach partycypacji społecznej </w:t>
      </w:r>
      <w:r>
        <w:rPr>
          <w:color w:val="000000"/>
          <w:u w:color="000000"/>
        </w:rPr>
        <w:t>w opracowaniu GPR (np. przeprowadzonej wśród interesariuszy ankietyzacji i spacerów badawczych).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Obszar rewitalizacji Miasta Piotrków Trybunalski składający się z następujących jednostek strukturalnych: ▪ JS nr 1, dalej zwana w Programie jako „podobszar Śr</w:t>
      </w:r>
      <w:r>
        <w:rPr>
          <w:color w:val="000000"/>
          <w:u w:color="000000"/>
        </w:rPr>
        <w:t>ódmieście”; ▪ JS nr 15, dalej zwana w Programie jako „podobszar Żwirki”; ▪ JS nr 13, dalej zwana w Programie jako „podobszar Bugaj”, stanowi 18,83% obszaru miasta oraz zamieszkały jest przez 27,87% ludności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Przeprowadzono szczegółową diagnozę wszys</w:t>
      </w:r>
      <w:r>
        <w:rPr>
          <w:color w:val="000000"/>
          <w:u w:color="000000"/>
        </w:rPr>
        <w:t xml:space="preserve">tkich trzech podobszarów rewitalizacji </w:t>
      </w:r>
      <w:r>
        <w:rPr>
          <w:color w:val="000000"/>
          <w:u w:color="000000"/>
        </w:rPr>
        <w:br/>
        <w:t xml:space="preserve">w oparciu o dostępne w chwili opracowania Programu obiektywne i weryfikowalne dane statystyczne (na koniec roku 2021) </w:t>
      </w:r>
      <w:r>
        <w:rPr>
          <w:rStyle w:val="Odwoanieprzypisudolnego"/>
          <w:color w:val="000000"/>
          <w:sz w:val="20"/>
          <w:u w:color="000000"/>
        </w:rPr>
        <w:footnoteReference w:customMarkFollows="1" w:id="2"/>
        <w:t>2)</w:t>
      </w:r>
      <w:r>
        <w:rPr>
          <w:color w:val="000000"/>
          <w:u w:color="000000"/>
        </w:rPr>
        <w:t xml:space="preserve"> oraz inne metody badawcze dostosowane do lokalnych uwarunkowań (ankietyzacja, spacery badawcze)</w:t>
      </w:r>
      <w:r>
        <w:rPr>
          <w:color w:val="000000"/>
          <w:u w:color="000000"/>
        </w:rPr>
        <w:t xml:space="preserve">. Diagnozę sporządzono zgodnie </w:t>
      </w:r>
      <w:r>
        <w:rPr>
          <w:color w:val="000000"/>
          <w:u w:color="000000"/>
        </w:rPr>
        <w:br/>
        <w:t>z postanowieniem art. 4 ust. 1 ustawy o rewitalizacji. Ograniczenia zakresu analizy wskaźnikowej wynikają z dostępności do wiarygodnych i weryfikowalnych danych statystycznych w przyjętym dla delimitacji obszaru zdegradowane</w:t>
      </w:r>
      <w:r>
        <w:rPr>
          <w:color w:val="000000"/>
          <w:u w:color="000000"/>
        </w:rPr>
        <w:t>go i obszaru rewitalizacji układzie jednostek strukturalnych miasta. Jednostki strukturalne nie są wydzielonymi statystycznie jednostkami miasta, gdyż miasto nie posiada wydzielonego terytorialnie podziału statystycznego (np. dzielnicowego). Podział na jed</w:t>
      </w:r>
      <w:r>
        <w:rPr>
          <w:color w:val="000000"/>
          <w:u w:color="000000"/>
        </w:rPr>
        <w:t xml:space="preserve">nostki strukturalne dokonano </w:t>
      </w:r>
      <w:r>
        <w:rPr>
          <w:color w:val="000000"/>
          <w:u w:color="000000"/>
        </w:rPr>
        <w:br/>
        <w:t>z uwzględnieniem lokalnych uwarunkowań i wyłącznie na użytek Programu.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Powierzchnia obszaru rewitalizacji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96"/>
        <w:gridCol w:w="1459"/>
        <w:gridCol w:w="1459"/>
        <w:gridCol w:w="1459"/>
        <w:gridCol w:w="1459"/>
        <w:gridCol w:w="1390"/>
      </w:tblGrid>
      <w:tr w:rsidR="00A916A4">
        <w:trPr>
          <w:trHeight w:val="840"/>
        </w:trPr>
        <w:tc>
          <w:tcPr>
            <w:tcW w:w="27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Wyszczególnienie</w:t>
            </w:r>
          </w:p>
        </w:tc>
        <w:tc>
          <w:tcPr>
            <w:tcW w:w="126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JS1 - Śródmieście </w:t>
            </w:r>
          </w:p>
        </w:tc>
        <w:tc>
          <w:tcPr>
            <w:tcW w:w="126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JS13 - Bugaj </w:t>
            </w:r>
          </w:p>
        </w:tc>
        <w:tc>
          <w:tcPr>
            <w:tcW w:w="126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JS15- Żwirki </w:t>
            </w:r>
          </w:p>
        </w:tc>
        <w:tc>
          <w:tcPr>
            <w:tcW w:w="126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Obszar rewitaliz</w:t>
            </w:r>
            <w:r>
              <w:rPr>
                <w:b/>
              </w:rPr>
              <w:t>acji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Miasto Piotrków Trybunalski</w:t>
            </w:r>
          </w:p>
        </w:tc>
      </w:tr>
      <w:tr w:rsidR="00A916A4">
        <w:trPr>
          <w:trHeight w:val="288"/>
        </w:trPr>
        <w:tc>
          <w:tcPr>
            <w:tcW w:w="2760" w:type="dxa"/>
            <w:tcBorders>
              <w:top w:val="nil"/>
              <w:left w:val="single" w:sz="2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Powierzchnia [ha]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107,00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723,00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436,00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1 266,00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6 724,00</w:t>
            </w:r>
          </w:p>
        </w:tc>
      </w:tr>
      <w:tr w:rsidR="00A916A4">
        <w:trPr>
          <w:trHeight w:val="288"/>
        </w:trPr>
        <w:tc>
          <w:tcPr>
            <w:tcW w:w="2760" w:type="dxa"/>
            <w:tcBorders>
              <w:top w:val="nil"/>
              <w:left w:val="single" w:sz="2" w:space="0" w:color="auto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udział w obszarze rewitalizacji [%]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8,45%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57,11%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34,44%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100,00%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2760" w:type="dxa"/>
            <w:tcBorders>
              <w:top w:val="nil"/>
              <w:left w:val="single" w:sz="2" w:space="0" w:color="auto"/>
              <w:bottom w:val="single" w:sz="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udział w obszarze miasta [%]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1,59%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10,75%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6,48%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18,83%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100,00%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5.1.</w:t>
      </w:r>
      <w:r>
        <w:rPr>
          <w:b/>
          <w:color w:val="000000"/>
          <w:u w:color="000000"/>
        </w:rPr>
        <w:t xml:space="preserve">Analiza wskaźnikowa sfery </w:t>
      </w:r>
      <w:r>
        <w:rPr>
          <w:b/>
          <w:color w:val="000000"/>
          <w:u w:color="000000"/>
        </w:rPr>
        <w:t>społecznej obszaru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Demografia.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b/>
          <w:color w:val="000000"/>
          <w:u w:color="000000"/>
        </w:rPr>
        <w:lastRenderedPageBreak/>
        <w:t>Wykres  - Ludność obszaru rewitalizacji</w:t>
      </w: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5863282" cy="4373743"/>
            <wp:effectExtent l="0" t="0" r="0" b="0"/>
            <wp:docPr id="100005" name="Obraz 10000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 r:link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63282" cy="437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Ludność obszaru rewitalizacji stanowi niespełna 28% ludności miasta. Ok. 52% ludności obszaru zamieszkuje podobszar JS13 Bugaj, ok. 35% w podobszarze JS1 Śródmieście </w:t>
      </w:r>
      <w:r>
        <w:rPr>
          <w:color w:val="000000"/>
          <w:u w:color="000000"/>
        </w:rPr>
        <w:t>i ok. 13% w podobszarze JS15 Żwirki.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Wykres  - Gęstość zaludnienia obszaru rewitalizacji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4343345" cy="3106406"/>
            <wp:effectExtent l="0" t="0" r="0" b="0"/>
            <wp:docPr id="100007" name="Obraz 10000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3" r:link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43345" cy="310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Gęstość zaludnienia obszaru rewitalizacji jest o ok. 48% wyższa od średniej dla miasta. Najgęściej zaludnionym podobszarem jest JS1 Śródmieście, gdzie gęstość zaludn</w:t>
      </w:r>
      <w:r>
        <w:rPr>
          <w:color w:val="000000"/>
          <w:u w:color="000000"/>
        </w:rPr>
        <w:t>ienia jest ok. 6-krotnie wyższa od średniej dla miasta i blisko 4-krotnie wyższa od średniej dla obszaru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lastRenderedPageBreak/>
        <w:t>Wykres  - Trendy depopulacyjne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4371107" cy="3735310"/>
            <wp:effectExtent l="0" t="0" r="0" b="0"/>
            <wp:docPr id="100009" name="Obraz 10000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5" r:link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71107" cy="373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całym obszarze rewitalizacji widoczne są utrwalone w czasie trendy depopulacyjne.</w:t>
      </w:r>
      <w:r>
        <w:rPr>
          <w:color w:val="000000"/>
          <w:u w:color="000000"/>
        </w:rPr>
        <w:br/>
        <w:t>W okresie lat 2016</w:t>
      </w:r>
      <w:r>
        <w:rPr>
          <w:color w:val="000000"/>
          <w:u w:color="000000"/>
        </w:rPr>
        <w:t>-2021 spadek ludności na obszarze rewitalizacji wyniósł 3,68% (w skali całego miasta 3,95%). Najsilniej ten niekorzystny tren zanotowano na podobszarach JS13 Bugaj i JS15 Żwirki.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Rynek pracy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Ocenę rynku pracy przeprowadzono na podstawie wskaźnika „ Udział </w:t>
      </w:r>
      <w:r>
        <w:rPr>
          <w:color w:val="000000"/>
          <w:u w:color="000000"/>
        </w:rPr>
        <w:t>bezrobotnych</w:t>
      </w:r>
      <w:r>
        <w:rPr>
          <w:color w:val="000000"/>
          <w:u w:color="000000"/>
        </w:rPr>
        <w:br/>
        <w:t>w ludności ogółem” z uwagi na niedostępność danych statystycznych dotyczących ludności</w:t>
      </w:r>
      <w:r>
        <w:rPr>
          <w:color w:val="000000"/>
          <w:u w:color="000000"/>
        </w:rPr>
        <w:br/>
        <w:t>w wieku produkcyjnym w podziale na przyjęte jednostki strukturalne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diagnozie przeprowadzonej w celu delimitacji obszaru zdegradowanego i obszaru r</w:t>
      </w:r>
      <w:r>
        <w:rPr>
          <w:color w:val="000000"/>
          <w:u w:color="000000"/>
        </w:rPr>
        <w:t>ewitalizacji uznano, iż poziom bezrobocia średni w skali miasta nie stanowi stanu kryzysowego albowiem wskaźnik ten kształtował się na poziomie średnim dla województwa łódzkiego.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niniejszej analizie szczegółowej dokonano jednak oceny sytuacji na rynku pr</w:t>
      </w:r>
      <w:r>
        <w:rPr>
          <w:color w:val="000000"/>
          <w:u w:color="000000"/>
        </w:rPr>
        <w:t>acy w obszarze rewitalizacji, w tym w poszczególnych podobszarach.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Wykres  - Udział bezrobotnych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5685855" cy="4345156"/>
            <wp:effectExtent l="0" t="0" r="0" b="0"/>
            <wp:docPr id="100011" name="Obraz 10001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7" r:link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85855" cy="434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Średni udział bezrobotnych w obszarze rewitalizacji w istotny sposób przekracza znacznie średni stan w mieście, co świadczy o istniejącym stanie problemowym.</w:t>
      </w:r>
      <w:r>
        <w:rPr>
          <w:color w:val="000000"/>
          <w:u w:color="000000"/>
        </w:rPr>
        <w:t xml:space="preserve"> Problem bezrobocia szczególnie widoczny jest na podobszarach: JS1 Śródmieście i JS15 Żwirki.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>Pomoc społeczna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Wykres  - Samowystarczalność ekonomiczna mieszkańców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5600075" cy="4535733"/>
            <wp:effectExtent l="0" t="0" r="0" b="0"/>
            <wp:docPr id="100013" name="Obraz 10001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9" r:link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00075" cy="453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Udział osób korzystających ze środowiskowej pomocy społecznej na obszarze rewitalizacji zn</w:t>
      </w:r>
      <w:r>
        <w:rPr>
          <w:color w:val="000000"/>
          <w:u w:color="000000"/>
        </w:rPr>
        <w:t>acznie przekracza średni poziom pomocy w mieście. Na obszarze rewitalizacji udział osób korzystających ze wsparcia środowiskowej pomocy społecznej jest aż o 2/3 wyższy od średniego poziomu w mieście. Najgorzej sytuacja prezentuje się w podobszarze JS15 Żwi</w:t>
      </w:r>
      <w:r>
        <w:rPr>
          <w:color w:val="000000"/>
          <w:u w:color="000000"/>
        </w:rPr>
        <w:t>rki, gdzie udział korzystających z pomocy społecznej jest aż blisko 2,5-krotnie wyższy. Również źle prezentuje się sytuacja w tym zakresie w podobszarze JS1 Śródmieście, gdzie udział potrzebujących wsparcia jest ponad 2-krotnie wyższy niż średnio w mieście</w:t>
      </w:r>
      <w:r>
        <w:rPr>
          <w:color w:val="000000"/>
          <w:u w:color="000000"/>
        </w:rPr>
        <w:t>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terenie miasta Piotrkowa Trybunalskiego w instytucjonalnej pieczy zastępczej przebywa aktualnie 67 dzieci. Potrzeby są jednak coraz większe, ale i coraz większa jest też świadomość wartości wychowywania dzieci w rodzinach zastępczych zamiast w placówk</w:t>
      </w:r>
      <w:r>
        <w:rPr>
          <w:color w:val="000000"/>
          <w:u w:color="000000"/>
        </w:rPr>
        <w:t>ach opiekuńczo-wychowawczych. Funkcjonujące na terenie Piotrkowa Trybunalskiego aktualnie 96 rodzin zastępczych w tym 1 rodzinny dom dziecka nie jest w stanie zabezpieczyć potrzeb Miasta</w:t>
      </w:r>
      <w:r>
        <w:rPr>
          <w:color w:val="000000"/>
          <w:u w:color="000000"/>
        </w:rPr>
        <w:br/>
        <w:t>w zakresie zapewnienia miejsc dla dzieci w rodzinnej pieczy zastępcze</w:t>
      </w:r>
      <w:r>
        <w:rPr>
          <w:color w:val="000000"/>
          <w:u w:color="000000"/>
        </w:rPr>
        <w:t>j. Wobec takiej sytuacji priorytetowym zadaniem jest pozyskiwanie kandydatów na rodziny zastępcze oraz integrowanie środowiska rodzin zastępczych ze społecznością lokalną., a także wspieranie i</w:t>
      </w:r>
      <w:r>
        <w:rPr>
          <w:color w:val="000000"/>
          <w:u w:color="000000"/>
        </w:rPr>
        <w:br/>
        <w:t>wzmacnianie roli rodziny jako środowiska społeczno - wychowawc</w:t>
      </w:r>
      <w:r>
        <w:rPr>
          <w:color w:val="000000"/>
          <w:u w:color="000000"/>
        </w:rPr>
        <w:t>zego.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Duży problem społeczny na obszarze rewitalizacji stanowi przemoc w rodzinie. Wskaźnik przemocy w rodzinie na obszarze rewitalizacji, wyrażony w analizie jako udział założonych tzw. „Niebieskich Kart” na 1000 mieszkańców, jest o ok. 1/3 wyższy od śred</w:t>
      </w:r>
      <w:r>
        <w:rPr>
          <w:color w:val="000000"/>
          <w:u w:color="000000"/>
        </w:rPr>
        <w:t>niej miasta. Rzutuje na to sytuacja w jednym podobszarze, tj JS1 Śródmieście, gdzie wskaźnik ten aż 3-krotnie przekracza średnią miasta. Poniekąd jest to pochodna bardzo wysokiej gęstości zaludnienia na tym podobszarze.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Wykres  - Wskaźnik przemocy w rodzin</w:t>
      </w:r>
      <w:r>
        <w:rPr>
          <w:b/>
          <w:color w:val="000000"/>
          <w:u w:color="000000"/>
        </w:rPr>
        <w:t>ie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5596319" cy="5383801"/>
            <wp:effectExtent l="0" t="0" r="0" b="0"/>
            <wp:docPr id="100015" name="Obraz 10001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21" r:link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96319" cy="538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Zjawisko przemocy w rodzinie jest jednym z najbardziej istotnych problemów, który dotyka rodziny i wywiera ogromny wpływ na kształtowanie przyszłości wielu ludzi, którzy tej przemocy doświadczyli.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 informacji uzyskanych z Zespołu Interdyscyplinarnego</w:t>
      </w:r>
      <w:r>
        <w:rPr>
          <w:color w:val="000000"/>
          <w:u w:color="000000"/>
        </w:rPr>
        <w:t xml:space="preserve"> ds. Przeciwdziałania Przemocy w Rodzinie w Piotrkowie Trybunalskim wynika, iż: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</w:t>
      </w:r>
      <w:r>
        <w:rPr>
          <w:color w:val="000000"/>
          <w:u w:color="000000"/>
        </w:rPr>
        <w:tab/>
        <w:t>W 2020 r. były prowadzone 182 nowe procedury Niebieskie Karty a pomocą grup roboczych objęte były 754 osoby;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</w:t>
      </w:r>
      <w:r>
        <w:rPr>
          <w:color w:val="000000"/>
          <w:u w:color="000000"/>
        </w:rPr>
        <w:tab/>
        <w:t xml:space="preserve">W 2021 r. były prowadzone 184 nowe procedury Niebieskie Karty </w:t>
      </w:r>
      <w:r>
        <w:rPr>
          <w:color w:val="000000"/>
          <w:u w:color="000000"/>
        </w:rPr>
        <w:t>a pomocą grup roboczych objętych było 725 osób;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</w:t>
      </w:r>
      <w:r>
        <w:rPr>
          <w:color w:val="000000"/>
          <w:u w:color="000000"/>
        </w:rPr>
        <w:tab/>
        <w:t>W 2022 r. były prowadzonych 195 procedur Niebieskie Karty a pomocą grup roboczych objętych było 696 osób.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Jak wynika z powyższych danych w Piotrkowie Trybunalskim mimo, iż spada liczba osób objętych pomocą </w:t>
      </w:r>
      <w:r>
        <w:rPr>
          <w:color w:val="000000"/>
          <w:u w:color="000000"/>
        </w:rPr>
        <w:t>grup roboczych, to w 2022 r. wzrosła liczba wszczynanych nowych procedur Niebieskie Karty. W latach wcześniejszych liczba ta utrzymywała się na bardzo podobnym również wysokim poziomie. Powyższe wiąże się z ujawnianiem coraz większej ilości zjawiska przemo</w:t>
      </w:r>
      <w:r>
        <w:rPr>
          <w:color w:val="000000"/>
          <w:u w:color="000000"/>
        </w:rPr>
        <w:t>cy i agresji w piotrkowskich rodzinach. Osoby poszkodowane mają coraz większą świadomość swoich praw i odwagę, by zgłaszać się na Policję, czy też do pracownika socjalnego. Dokonując natomiast analizy Niebieskich Kart zauważa się, że nadal zdecydowaną więk</w:t>
      </w:r>
      <w:r>
        <w:rPr>
          <w:color w:val="000000"/>
          <w:u w:color="000000"/>
        </w:rPr>
        <w:t>szość wśród sprawców przemocy w rodzinie stanowią mężczyźni. Z danych za 2022 r. wynika, że 83% osób podejrzanych o stosowanie przemocy stanowią mężczyźni.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Ofiarami przemocy są kobiety oraz dzieci jako świadkowie przemocy. Z danych za 2022 r. wynika, że 88</w:t>
      </w:r>
      <w:r>
        <w:rPr>
          <w:color w:val="000000"/>
          <w:u w:color="000000"/>
        </w:rPr>
        <w:t>% osób podejrzanych, że są dotknięte przemocą w rodzinie stanowią kobiety i dzieci.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Zatem przede wszystkim do tej grupy należy kierować ofertę przeznaczoną dla ofiar przemocy. Ponadto z informacji uzyskanych od pedagogów szkolnych wynika, iż ciągle wzrasta</w:t>
      </w:r>
      <w:r>
        <w:rPr>
          <w:color w:val="000000"/>
          <w:u w:color="000000"/>
        </w:rPr>
        <w:t xml:space="preserve"> problem agresji wśród dzieci i młodzieży, zwłaszcza wśród rówieśników. Wiąże się to często z sytuacją jaką ci młodzi ludzie mają w domu. Rodzice nie są świadomi, że ich metody postępowania nie są właściwe i przekazują dziecku nieodpowiedni wzorzec zachowa</w:t>
      </w:r>
      <w:r>
        <w:rPr>
          <w:color w:val="000000"/>
          <w:u w:color="000000"/>
        </w:rPr>
        <w:t>ń.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terenie Jednostki strukturalnej nr 1 wśród zdiagnozowanych problemów społecznych znalazły się zjawiska patologiczne, w tym przemoc w rodzinie.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związku z tym celowe będzie podjęcie na tym podobszarze szeregu działań ukierunkowanych na podnoszenie ko</w:t>
      </w:r>
      <w:r>
        <w:rPr>
          <w:color w:val="000000"/>
          <w:u w:color="000000"/>
        </w:rPr>
        <w:t>mpetencji rodzicielskich, promowanie metod wychowawczych bez użycia przemocy, kształtowanie więzi rodzinnych i koleżeńskich opartych na wzajemnym szacunku.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Wszystkie te działania są ważne i potrzebne, gdyż pogłębiają świadomość społeczności lokalnej w zakr</w:t>
      </w:r>
      <w:r>
        <w:rPr>
          <w:color w:val="000000"/>
          <w:u w:color="000000"/>
        </w:rPr>
        <w:t>esie przeciwdziałania przemocy w rodzinie, a jednocześnie wzbogacają ofertę wsparcia dla dzieci i rodzin zagrożonych lub dotkniętych zjawiskiem przemocy.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Bezpieczeństwo publiczne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Miasto Piotrków Trybunalski charakteryzuje się nieco wyższym aniżeli wojewódz</w:t>
      </w:r>
      <w:r>
        <w:rPr>
          <w:color w:val="000000"/>
          <w:u w:color="000000"/>
        </w:rPr>
        <w:t>two łódzkie poziomem przestępczości. Sytuacja w zakresie bezpieczeństwa publicznego wymaga jednak pogłębionej analizy pod kątem wystąpienia stanów kryzysowych w podobszarach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Poziom przestępczości na obszarze rewitalizacji jest o ok. 1/3 wyżs</w:t>
      </w:r>
      <w:r>
        <w:rPr>
          <w:color w:val="000000"/>
          <w:u w:color="000000"/>
        </w:rPr>
        <w:t>zy aniżeli średni poziom</w:t>
      </w:r>
      <w:r>
        <w:rPr>
          <w:color w:val="000000"/>
          <w:u w:color="000000"/>
        </w:rPr>
        <w:br/>
        <w:t>w mieście. Podobnie jak w zakresie problemu przemocy w rodzinie rzutuje na to sytuacja</w:t>
      </w:r>
      <w:r>
        <w:rPr>
          <w:color w:val="000000"/>
          <w:u w:color="000000"/>
        </w:rPr>
        <w:br/>
        <w:t>w podobszarze rewitalizacji JS1 Śródmieście, gdzie poziom ten jest aż ponad 2-krotnie wyższy niż średnio w mieście. W dużej mierze sytuacja taka</w:t>
      </w:r>
      <w:r>
        <w:rPr>
          <w:color w:val="000000"/>
          <w:u w:color="000000"/>
        </w:rPr>
        <w:t xml:space="preserve"> jest pochodną wysokiej gęstości zaludnienia na tym podobszarze.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pozostałych podobszarach rewitalizacji poziom przestępczości jest albo niewiele powyższej średniej miasta ( JS13 Bugaj) albo nawet poniżej średniej miasta (JS15 Żwirki).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>Wykres  - Poziom p</w:t>
      </w:r>
      <w:r>
        <w:rPr>
          <w:b/>
          <w:color w:val="000000"/>
          <w:u w:color="000000"/>
        </w:rPr>
        <w:t>rzestępczości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4556295" cy="4383272"/>
            <wp:effectExtent l="0" t="0" r="0" b="0"/>
            <wp:docPr id="100017" name="Obraz 10001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23" r:link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56295" cy="43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Edukacja i wychowanie przedszkolne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Zagadnienia tego nie można rozpatrywać w zawężonym do obszaru rewitalizacji kontekście. W obszarze miasta występują synergiczne powiązania usług społecznych realizowanych przez podmioty zlokalizowanych w r</w:t>
      </w:r>
      <w:r>
        <w:rPr>
          <w:color w:val="000000"/>
          <w:u w:color="000000"/>
        </w:rPr>
        <w:t>óżnych jednostkach strukturalnych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2021 roku funkcjonowało 35 jednostek oświatowych prowadzonych przez samorząd, w tym 13 przedszkoli samorządowych, 9 szkół podstawowych, 4 samodzielne licea ogólnokształcące, 6 zespołów szkół ponadpodstawowych (w </w:t>
      </w:r>
      <w:r>
        <w:rPr>
          <w:color w:val="000000"/>
          <w:u w:color="000000"/>
        </w:rPr>
        <w:t>strukturach, których funkcjonowały licea ogólnokształcące dla młodzieży, jedno liceum ogólnokształcące dla dorosłych, technika, szkoły branżowe I stopnia), Poradnia Psychologiczno-Pedagogiczna, Centrum Kształcenia Zawodowego, Specjalny Ośrodek Szkolno-Wych</w:t>
      </w:r>
      <w:r>
        <w:rPr>
          <w:color w:val="000000"/>
          <w:u w:color="000000"/>
        </w:rPr>
        <w:t>owawczy i Bursa Szkolna, będąca w strukturach Zespołu Szkół Ponadpodstawowych i Placówek Opiekuńczo-Wychowawczych Nr 3.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Ponadto w Mieście funkcjonowało łącznie 67 szkół i placówek niepublicznych.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39 uczennic/uczniów korzystało z nauczania indywidualnego, 3</w:t>
      </w:r>
      <w:r>
        <w:rPr>
          <w:color w:val="000000"/>
          <w:u w:color="000000"/>
        </w:rPr>
        <w:t>0 ze zindywidualizowanej ścieżki edukacyjnej.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 latach 2018-2021 odsetek dzieci objętych wychowaniem przedszkolnym w Piotrkowie Trybunalskim osiągał bardzo wysoki poziom 95-96%.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 kolei o jakości i skuteczności edukacji na poziomie podstawowym i ponadpodst</w:t>
      </w:r>
      <w:r>
        <w:rPr>
          <w:color w:val="000000"/>
          <w:u w:color="000000"/>
        </w:rPr>
        <w:t>awowym świadczą wyniki uzyskiwane przez uczniów w ramach przeprowadzanych corocznie egzaminów. O wysokim, nie wymagającym interwencji, poziomie nauczania w całym miejskim systemie edukacji świadczą dane zawarte w poniższej tabeli.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Poziom edukacji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7726182" cy="2800741"/>
            <wp:effectExtent l="0" t="0" r="0" b="0"/>
            <wp:docPr id="100019" name="Obraz 10001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25" r:link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26182" cy="280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i/>
          <w:color w:val="000000"/>
          <w:u w:color="000000"/>
        </w:rPr>
        <w:t>Źródło:  </w:t>
      </w:r>
      <w:r>
        <w:rPr>
          <w:color w:val="000000"/>
          <w:u w:color="000000"/>
        </w:rPr>
        <w:t>BDL oraz https://oke.lodz.pl 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Zarówno opieka nad dziećmi w wieku przedszkolnym oraz poziom edukacji na poziomie podstawowym i ponadpodstawowym spełniają w Piotrkowie Trybunalskim wysokie standardy ilościowe i jakościowe. We wszystkich </w:t>
      </w:r>
      <w:r>
        <w:rPr>
          <w:color w:val="000000"/>
          <w:u w:color="000000"/>
        </w:rPr>
        <w:t>ocenianych wskaźnikach dane dla Piotrkowa Trybunalskiego są zdecydowanie lepsze od średnich dla województwa łódzkiego.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Kultura, Kultura fizyczna, rekreacja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Zagadnienia tego, podobnie jak poziomu edukacji, nie można rozpatrywać w zawężonym do obszaru </w:t>
      </w:r>
      <w:r>
        <w:rPr>
          <w:color w:val="000000"/>
          <w:u w:color="000000"/>
        </w:rPr>
        <w:t>rewitalizacji kontekście. W obszarze miasta występują synergiczne powiązania usług społecznych realizowanych przez podmioty zlokalizowanych w różnych jednostkach strukturalnych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Działalność w zakresie upowszechniania kultury prowadzą m.in: Miejski O</w:t>
      </w:r>
      <w:r>
        <w:rPr>
          <w:color w:val="000000"/>
          <w:u w:color="000000"/>
        </w:rPr>
        <w:t>środek Kultury, Miejska Biblioteka Publiczna im. Adama Próchnika, Muzeum, Ośrodek Działań Artystycznych oraz najprężniej działające stowarzyszenia i fundacje: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Stowarzyszenie Działań Artystycznych „Galeria OFF”,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Stowarzyszenie Przyjaciół Ognisk Artystyc</w:t>
      </w:r>
      <w:r>
        <w:rPr>
          <w:color w:val="000000"/>
          <w:u w:color="000000"/>
        </w:rPr>
        <w:t>znych,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Stowarzyszenie „Busola dla Artystycznie Uzdolnionych Dzieci” – organizacja pożytku publicznego,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Towarzystwo Przyjaciół Miasta Piotrkowa Trybunalskiego,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Piotrkowskie Towarzystwo Taneczne,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Stowarzyszenie Loża Kulturalna Stare Miasto.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Wiodąca w</w:t>
      </w:r>
      <w:r>
        <w:rPr>
          <w:color w:val="000000"/>
          <w:u w:color="000000"/>
        </w:rPr>
        <w:t xml:space="preserve"> zakresie działania Miejskiej Biblioteki Publicznej jest Mediateka 800-lecia. Budynek Mediateki 800-lecia jest trzykondygnacyjnym obiektem użyteczności publicznej, z czego jedna kondygnacja jest podziemna. Obiekt zaprojektowano i wybudowano w formie ksiąg </w:t>
      </w:r>
      <w:r>
        <w:rPr>
          <w:color w:val="000000"/>
          <w:u w:color="000000"/>
        </w:rPr>
        <w:t xml:space="preserve">ustawionych na półce, z których dwie otwierają się odpowiednio na Stare Miasto </w:t>
      </w:r>
      <w:r>
        <w:rPr>
          <w:color w:val="000000"/>
          <w:u w:color="000000"/>
        </w:rPr>
        <w:br/>
        <w:t>i w kierunku wschodnim połączono ciągiem komunikacyjnym wyznaczającym oś widokową na Zamek Królewski. Bryła budynku o wysokości 8,00 m i powierzchni całkowitej 7 447,87 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 usy</w:t>
      </w:r>
      <w:r>
        <w:rPr>
          <w:color w:val="000000"/>
          <w:u w:color="000000"/>
        </w:rPr>
        <w:t>tuowana jest na placu pofranciszkańskim, nieopodal Rynku Trybunalskiego. Lokalizacja ta jest szczególna i niepowtarzalna – od strony zachodniej z okien Mediateki 800-lecia widać historyczną część Piotrkowa.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Z uwagi na poprzedzający analizę okres pandemiczn</w:t>
      </w:r>
      <w:r>
        <w:rPr>
          <w:color w:val="000000"/>
          <w:u w:color="000000"/>
        </w:rPr>
        <w:t>y zniekształcający wskaźnikowe podejście do określenia trendów w zakresie kultury, kultury fizycznej i rekreacji, diagnozę</w:t>
      </w:r>
      <w:r>
        <w:rPr>
          <w:color w:val="000000"/>
          <w:u w:color="000000"/>
        </w:rPr>
        <w:br/>
        <w:t>w tym zakresie przeprowadzono z wykorzystaniem innych metod badawczych opisanych</w:t>
      </w:r>
      <w:r>
        <w:rPr>
          <w:color w:val="000000"/>
          <w:u w:color="000000"/>
        </w:rPr>
        <w:br/>
        <w:t>w rozdziale 5.3.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Aktywność społeczna</w:t>
      </w:r>
      <w:r>
        <w:rPr>
          <w:color w:val="000000"/>
          <w:u w:color="000000"/>
        </w:rPr>
        <w:t>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Dostępność wia</w:t>
      </w:r>
      <w:r>
        <w:rPr>
          <w:color w:val="000000"/>
          <w:u w:color="000000"/>
        </w:rPr>
        <w:t xml:space="preserve">rygodnych danych statystycznych do przeprowadzenia analizy wskaźnikowej w tym zakresie stawia ograniczenie w postaci uogólnienia wyników w skali miasta. Ocenę aktywności społecznej </w:t>
      </w:r>
      <w:r>
        <w:rPr>
          <w:color w:val="000000"/>
          <w:u w:color="000000"/>
        </w:rPr>
        <w:lastRenderedPageBreak/>
        <w:t>mieszkańców Piotrkowa Trybunalskiego przeprowadzono w oparciu</w:t>
      </w:r>
      <w:r>
        <w:rPr>
          <w:color w:val="000000"/>
          <w:u w:color="000000"/>
        </w:rPr>
        <w:br/>
        <w:t>o dane w zakr</w:t>
      </w:r>
      <w:r>
        <w:rPr>
          <w:color w:val="000000"/>
          <w:u w:color="000000"/>
        </w:rPr>
        <w:t>esie działalności organizacji pozarządowych (NGO) oraz frekwencji wyborczej. Dane z okresu 2016-2021 wskazują na nieznacznie niższe zaangażowanie społeczne mieszkańców Piotrkowa Trybunalskiego w porównaniu ze średnim dla województwa łódzkiego.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Po</w:t>
      </w:r>
      <w:r>
        <w:rPr>
          <w:b/>
          <w:color w:val="000000"/>
          <w:u w:color="000000"/>
        </w:rPr>
        <w:t>ziom aktywności społecznej</w:t>
      </w:r>
    </w:p>
    <w:p w:rsidR="00A77B3E" w:rsidRDefault="00EC7227">
      <w:pPr>
        <w:spacing w:before="120" w:after="120"/>
        <w:ind w:left="510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7192495" cy="3677163"/>
            <wp:effectExtent l="0" t="0" r="0" b="0"/>
            <wp:docPr id="100021" name="Obraz 10002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27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92495" cy="367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Źródło: BDL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5.2.</w:t>
      </w:r>
      <w:r>
        <w:rPr>
          <w:b/>
          <w:color w:val="000000"/>
          <w:u w:color="000000"/>
        </w:rPr>
        <w:t>Analiza wskaźnikowa pozostałych sfer obszaru rewitalizacji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Sfera gospodarcza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Aktywność gospodarcza mieszkańców Piotrkowa Trybunalskiego wyrażona wskaźnikiem „Udział osób prowadzących 1-osobową działalność </w:t>
      </w:r>
      <w:r>
        <w:rPr>
          <w:color w:val="000000"/>
          <w:u w:color="000000"/>
        </w:rPr>
        <w:t>gospodarczą w ludności w wieku produkcyjnym” jest powyżej średniego poziomu w województwie łódzkim. W zakresie nowo rejestrowanych jednoosobowych podmiotów gospodarczych wskaźniki dla Piotrkowa Trybunalskiego pokrywają się ze wskaźnikami wojewódzkimi.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Nies</w:t>
      </w:r>
      <w:r>
        <w:rPr>
          <w:color w:val="000000"/>
          <w:u w:color="000000"/>
        </w:rPr>
        <w:t>tety z dostępnej wiarygodnej bazy danych statystycznych nie ma możliwości wygenerowania ww. wskaźników na poziomie jednostki strukturalnej w odniesieniu do 10 tys. ludności.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Na tle województwa łódzkiego aktywność gospodarcza mieszkańców Piotrkowa Trybunals</w:t>
      </w:r>
      <w:r>
        <w:rPr>
          <w:color w:val="000000"/>
          <w:u w:color="000000"/>
        </w:rPr>
        <w:t>kiego jest powyżej średniego poziomu w województwie. W tej sferze nie zdiagnozowano stanu kryzysowego w skali miasta.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W odniesieniu do obszaru rewitalizacji diagnozę w tym zakresie przeprowadzono z wykorzystaniem innych metod badawczych opisanych w rozdzia</w:t>
      </w:r>
      <w:r>
        <w:rPr>
          <w:color w:val="000000"/>
          <w:u w:color="000000"/>
        </w:rPr>
        <w:t>le 5.3.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Sfera środowiskowa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● Gospodarka wodno-ściekowa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Poziom wyposażenia ludności miasta w instalację wodociągową i kanalizacyjną nie stanowi problemu na jakimkolwiek obszarze w analizowanym okresie.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badanym okresie stwierdzono na terenie miasta wysoki </w:t>
      </w:r>
      <w:r>
        <w:rPr>
          <w:color w:val="000000"/>
          <w:u w:color="000000"/>
        </w:rPr>
        <w:t>poziom warunków lokalnej egzystencji i jej środowiska. Wskaźnik udziału ludności gminy korzystającej z oczyszczalni ścieków w ludności ogółem jest zdecydowanie wyższy od średniej w województwie. Zarówno w skali miasta jak i </w:t>
      </w:r>
      <w:r>
        <w:rPr>
          <w:b/>
          <w:color w:val="000000"/>
          <w:u w:color="000000"/>
        </w:rPr>
        <w:t>dla obszaru rewitalizacji nie zi</w:t>
      </w:r>
      <w:r>
        <w:rPr>
          <w:b/>
          <w:color w:val="000000"/>
          <w:u w:color="000000"/>
        </w:rPr>
        <w:t xml:space="preserve">dentyfikowano problemów </w:t>
      </w:r>
      <w:r>
        <w:rPr>
          <w:b/>
          <w:color w:val="000000"/>
          <w:u w:color="000000"/>
        </w:rPr>
        <w:br/>
        <w:t>w tym zakresie.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lastRenderedPageBreak/>
        <w:t>● Gospodarka odpadami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zakresie proekologicznej gospodarki odpadami sytuacja jest poniżej średniej wojewódzkiej. W tym przypadku </w:t>
      </w:r>
      <w:r>
        <w:rPr>
          <w:b/>
          <w:color w:val="000000"/>
          <w:u w:color="000000"/>
        </w:rPr>
        <w:t>problem dotyczy całego obszaru miasta, w tym obszaru rewitalizacji.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Jakość powietrza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● Poziom zanieczyszczeń pyłowych w Piotrkowie Trybunalskim jest wyższy niż średnia emisja w skali województwa łódzkiego. W tym przypadku </w:t>
      </w:r>
      <w:r>
        <w:rPr>
          <w:b/>
          <w:color w:val="000000"/>
          <w:u w:color="000000"/>
        </w:rPr>
        <w:t>problem także dotyczy całego obszaru miasta, w tym obszaru rewitalizacji.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Sfera techniczna i funkcjonalno-przestrzenna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Z uwagi na ograniczenia wynikające z dostępności do wiarygodnych danych statystycznych analizę wskaźnikową przeprowadzono wyłącznie w zakresie wskaźnika „dostępności mediów w infrastrukturze mieszkaniowej [%]”.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Współczesne standardy dostosowania infrastruk</w:t>
      </w:r>
      <w:r>
        <w:rPr>
          <w:color w:val="000000"/>
          <w:u w:color="000000"/>
        </w:rPr>
        <w:t>tury mieszkalnej do oczekiwań mieszkańców nie ograniczają się już tylko do wyposażenia w podstawowe media, jakimi do niedawna były: woda, kanalizacja, energia elektryczna. Współcześnie należy uznać, że w obszarze miejskim</w:t>
      </w:r>
      <w:r>
        <w:rPr>
          <w:color w:val="000000"/>
          <w:u w:color="000000"/>
        </w:rPr>
        <w:br/>
        <w:t>o populacji ok. 70 tys. mieszkańcó</w:t>
      </w:r>
      <w:r>
        <w:rPr>
          <w:color w:val="000000"/>
          <w:u w:color="000000"/>
        </w:rPr>
        <w:t>w, dostęp do sieci gazowej czy cieplnej nie jest czymś ponadstandardowym. Wręcz przeciwnie, w takim mieście jak Piotrków Trybunalski brak powszechnego dostępu do tych mediów na niektórych obszarach miasta należy uznać za stan kryzysowy na danym obszarze.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>Wykres  - Dostępność mediów w gospodarce mieszkaniowej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4913617" cy="4983589"/>
            <wp:effectExtent l="0" t="0" r="0" b="0"/>
            <wp:docPr id="100023" name="Obraz 10002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9" r:link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13617" cy="498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Jak z powyższego wykresu wynika</w:t>
      </w:r>
      <w:r>
        <w:rPr>
          <w:b/>
          <w:color w:val="000000"/>
          <w:u w:color="000000"/>
        </w:rPr>
        <w:t xml:space="preserve">, </w:t>
      </w:r>
      <w:r>
        <w:rPr>
          <w:color w:val="000000"/>
          <w:u w:color="000000"/>
        </w:rPr>
        <w:t>problem niedostatecznej dostępności do mediów takich jak gaz czy ciepło sieciowe dotyczy jedynie w niewielkim stopniu podobszar JS13 Bugaj.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Przestrzenie nieużytkowane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Przestrzeń nieużytkowana </w:t>
      </w:r>
      <w:r>
        <w:rPr>
          <w:color w:val="000000"/>
          <w:u w:color="000000"/>
        </w:rPr>
        <w:t>to obecnie nieużytkowane tereny i obiekty, na których realizowano działalności: przemysłowe, wojskowe, eksploatację kopalin, transportowe, rolnicze, infrastruktury komunalnej (związanej z gospodarką wodno-ściekową, odpadami, zaopa</w:t>
      </w:r>
      <w:r>
        <w:rPr>
          <w:color w:val="000000"/>
          <w:u w:color="000000"/>
        </w:rPr>
        <w:t>trzeniem w energię). Specyficznym rodzajem „przestrzeni nieużytkowanych” są także tereny i obiekty, w których rozpoczęto realizację zagospodarowania i jej nie zakończono – formalnie nie doszło więc do rozpoczęcia działalności, ale teren jest zajęty przez n</w:t>
      </w:r>
      <w:r>
        <w:rPr>
          <w:color w:val="000000"/>
          <w:u w:color="000000"/>
        </w:rPr>
        <w:t>ieużytkowane obiekty.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szczególności do „przestrzeni nieużytkowanych” należy zaliczyć: budynki (także budynki towarzyszące zasadniczej funkcji – np. w przypadku terenów przemysłowych lub gospodarstw rolnych także budynki zajmowane przez administrację, baz</w:t>
      </w:r>
      <w:r>
        <w:rPr>
          <w:color w:val="000000"/>
          <w:u w:color="000000"/>
        </w:rPr>
        <w:t>y pojazdów, itp.), place manewrowe, place składowe, tereny obsługi komunikacyjnej, tereny wyrobisk, tereny składowisk, budynki dworcowe, urządzenia stacyjne, rampy załadowcze, obiekty magazynowo - składowe (przy terenach przemysłowych, rolnych lub komunika</w:t>
      </w:r>
      <w:r>
        <w:rPr>
          <w:color w:val="000000"/>
          <w:u w:color="000000"/>
        </w:rPr>
        <w:t>cyjnych).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 tej kategorii zalicza się także tereny i urządzenia infrastruktury technicznej służącej obsłudze ww. terenów, jeśli są z nimi integralnie związane (to znaczy po zaprzestaniu zasadniczej działalności nie zostały zaadaptowane na inne cele) – np.</w:t>
      </w:r>
      <w:r>
        <w:rPr>
          <w:color w:val="000000"/>
          <w:u w:color="000000"/>
        </w:rPr>
        <w:t xml:space="preserve"> zakładowe ujęcia wody, oczyszczalnie ścieków, przepompownie ścieków, składowiska odpadów, urządzenia zasilania w energię, w tym w energię elektryczną, stacje redukcyjne gazu, itp.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procesie identyfikacji przestrzeni nieużytkowanych w poszczególnych JS </w:t>
      </w:r>
      <w:r>
        <w:rPr>
          <w:color w:val="000000"/>
          <w:u w:color="000000"/>
        </w:rPr>
        <w:t>nie skupiano się na jednostkowych przykładach obiektów w stanie technicznej degradacji, w tym</w:t>
      </w:r>
      <w:r>
        <w:rPr>
          <w:color w:val="000000"/>
          <w:u w:color="000000"/>
        </w:rPr>
        <w:br/>
        <w:t>o przeznaczeniu mieszkaniowym czy utraty podstawowych funkcji technicznych umożliwiających efektywne korzystanie z obiektu. Zidentyfikowany proces degradacji musi</w:t>
      </w:r>
      <w:r>
        <w:rPr>
          <w:color w:val="000000"/>
          <w:u w:color="000000"/>
        </w:rPr>
        <w:t xml:space="preserve">ał mieć widoczny i utrwalony w czasie </w:t>
      </w:r>
      <w:r>
        <w:rPr>
          <w:color w:val="000000"/>
          <w:u w:color="000000"/>
        </w:rPr>
        <w:lastRenderedPageBreak/>
        <w:t>charakter. W obszarze rewitalizacji definicję przestrzeni nieużytkowanej spełniają następujące obiekty zlokalizowane w podobszarach JS1 Śródmieście i JS13 Bugaj: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Przestrzenie nieużytkowane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1"/>
        <w:gridCol w:w="3936"/>
        <w:gridCol w:w="5665"/>
      </w:tblGrid>
      <w:tr w:rsidR="00A916A4">
        <w:trPr>
          <w:trHeight w:val="610"/>
        </w:trPr>
        <w:tc>
          <w:tcPr>
            <w:tcW w:w="9135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PRZESTRZEŃ NIEUŻYTKOW</w:t>
            </w:r>
            <w:r>
              <w:rPr>
                <w:b/>
                <w:sz w:val="24"/>
              </w:rPr>
              <w:t>ANA</w:t>
            </w:r>
          </w:p>
        </w:tc>
      </w:tr>
      <w:tr w:rsidR="00A916A4">
        <w:trPr>
          <w:trHeight w:val="312"/>
        </w:trPr>
        <w:tc>
          <w:tcPr>
            <w:tcW w:w="720" w:type="dxa"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Nr JS</w:t>
            </w: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Nazwa obiektu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Lokalizacja obiektu</w:t>
            </w:r>
          </w:p>
        </w:tc>
      </w:tr>
      <w:tr w:rsidR="00A916A4">
        <w:trPr>
          <w:trHeight w:val="528"/>
        </w:trPr>
        <w:tc>
          <w:tcPr>
            <w:tcW w:w="720" w:type="dxa"/>
            <w:vMerge w:val="restart"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Restauracja Europa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Stronczyńskiego 2</w:t>
            </w:r>
          </w:p>
        </w:tc>
      </w:tr>
      <w:tr w:rsidR="00A916A4">
        <w:trPr>
          <w:trHeight w:val="550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Pustostany na Podzamczu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Wojska Polskiego</w:t>
            </w:r>
          </w:p>
        </w:tc>
      </w:tr>
      <w:tr w:rsidR="00A916A4">
        <w:trPr>
          <w:trHeight w:val="558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vMerge w:val="restart"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Zdewastowane obiekty/pustostany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Słowackiego</w:t>
            </w:r>
          </w:p>
        </w:tc>
      </w:tr>
      <w:tr w:rsidR="00A916A4">
        <w:trPr>
          <w:trHeight w:val="519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Sieradzka/Rwańska</w:t>
            </w:r>
          </w:p>
        </w:tc>
      </w:tr>
      <w:tr w:rsidR="00A916A4">
        <w:trPr>
          <w:trHeight w:val="482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Jerozolimska 12</w:t>
            </w:r>
          </w:p>
        </w:tc>
      </w:tr>
      <w:tr w:rsidR="00A916A4">
        <w:trPr>
          <w:trHeight w:val="312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Kwartał </w:t>
            </w:r>
            <w:r>
              <w:t xml:space="preserve">Wspólna/Zamkowa/Pereca/Starowarszawska </w:t>
            </w:r>
          </w:p>
        </w:tc>
      </w:tr>
      <w:tr w:rsidR="00A916A4">
        <w:trPr>
          <w:trHeight w:val="312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POW - przychodnia kolejowa</w:t>
            </w:r>
          </w:p>
        </w:tc>
      </w:tr>
      <w:tr w:rsidR="00A916A4">
        <w:trPr>
          <w:trHeight w:val="542"/>
        </w:trPr>
        <w:tc>
          <w:tcPr>
            <w:tcW w:w="720" w:type="dxa"/>
            <w:vMerge w:val="restart"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Jezioro Bugaj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Bugaj</w:t>
            </w:r>
          </w:p>
        </w:tc>
      </w:tr>
      <w:tr w:rsidR="00A916A4">
        <w:trPr>
          <w:trHeight w:val="580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Piotrkowska Manufaktura/Sigmatex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Sulejowska</w:t>
            </w:r>
          </w:p>
        </w:tc>
      </w:tr>
      <w:tr w:rsidR="00A916A4">
        <w:trPr>
          <w:trHeight w:val="560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Schrony</w:t>
            </w:r>
          </w:p>
        </w:tc>
        <w:tc>
          <w:tcPr>
            <w:tcW w:w="4965" w:type="dxa"/>
            <w:tcBorders>
              <w:top w:val="nil"/>
              <w:left w:val="nil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Os. Wyzwolenia</w:t>
            </w:r>
          </w:p>
        </w:tc>
      </w:tr>
      <w:tr w:rsidR="00A916A4">
        <w:trPr>
          <w:trHeight w:val="419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vMerge w:val="restart"/>
            <w:tcBorders>
              <w:top w:val="nil"/>
              <w:left w:val="single" w:sz="2" w:space="0" w:color="auto"/>
              <w:bottom w:val="single" w:sz="4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Zdewastowane obiekty/pustostany</w:t>
            </w:r>
          </w:p>
        </w:tc>
        <w:tc>
          <w:tcPr>
            <w:tcW w:w="4965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:rsidR="00A916A4" w:rsidRDefault="00EC7227">
            <w:pPr>
              <w:jc w:val="center"/>
            </w:pPr>
            <w:r>
              <w:rPr>
                <w:sz w:val="24"/>
              </w:rPr>
              <w:t>Garbarska</w:t>
            </w:r>
          </w:p>
        </w:tc>
      </w:tr>
      <w:tr w:rsidR="00A916A4">
        <w:trPr>
          <w:trHeight w:val="58"/>
        </w:trPr>
        <w:tc>
          <w:tcPr>
            <w:tcW w:w="7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96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val="single" w:color="000000"/>
        </w:rPr>
        <w:t xml:space="preserve">Opis poziomu degradacji technicznej </w:t>
      </w:r>
      <w:r>
        <w:rPr>
          <w:b/>
          <w:color w:val="000000"/>
          <w:u w:val="single" w:color="000000"/>
        </w:rPr>
        <w:t>wskazanych wyżej obiektów</w:t>
      </w:r>
      <w:r>
        <w:rPr>
          <w:color w:val="000000"/>
          <w:u w:color="000000"/>
        </w:rPr>
        <w:t>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►Restauracja Europa </w:t>
      </w:r>
      <w:r>
        <w:rPr>
          <w:rStyle w:val="Odwoanieprzypisudolnego"/>
          <w:color w:val="000000"/>
          <w:sz w:val="20"/>
          <w:u w:color="000000"/>
        </w:rPr>
        <w:footnoteReference w:customMarkFollows="1" w:id="3"/>
        <w:t>3)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Budynek dawnej restauracji Europa w Piotrkowie już od ponad 23-ch lat popada w ruinę. Teren przy pl. Kościuszki został przez władze miasta sprzedany 2000 roku za 850 tys. zł, ale już wcześniej stał </w:t>
      </w:r>
      <w:r>
        <w:rPr>
          <w:color w:val="000000"/>
          <w:u w:color="000000"/>
        </w:rPr>
        <w:t>niezagospodarowany. Prywatny właściciel, mimo szumnych zapowiedzi składanych wielokrotnie na przestrzeni lat, ograniczył się do zabezpieczenia elewacji i zakrycia fasady banerami</w:t>
      </w:r>
      <w:r>
        <w:rPr>
          <w:b/>
          <w:color w:val="000000"/>
          <w:u w:color="000000"/>
        </w:rPr>
        <w:t>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Restauracja Europa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3932068" cy="2619741"/>
            <wp:effectExtent l="0" t="0" r="0" b="0"/>
            <wp:docPr id="100025" name="Obraz 10002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31" r:link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32068" cy="261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lastRenderedPageBreak/>
        <w:t>►Pustostany - przykłady.</w:t>
      </w:r>
      <w:r>
        <w:rPr>
          <w:rStyle w:val="Odwoanieprzypisudolnego"/>
          <w:color w:val="000000"/>
          <w:sz w:val="20"/>
          <w:u w:color="000000"/>
        </w:rPr>
        <w:footnoteReference w:customMarkFollows="1" w:id="4"/>
        <w:t>4)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Fotografia  - </w:t>
      </w:r>
      <w:r>
        <w:rPr>
          <w:b/>
          <w:color w:val="000000"/>
          <w:u w:color="000000"/>
        </w:rPr>
        <w:t>Pustostany na Podzamczu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3513497" cy="1971950"/>
            <wp:effectExtent l="0" t="0" r="0" b="0"/>
            <wp:docPr id="100027" name="Obraz 10002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33" r:link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13497" cy="19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b/>
          <w:color w:val="000000"/>
          <w:u w:color="000000"/>
        </w:rPr>
        <w:t>Fotografia - Pustostan ul. Słowackiego 56</w:t>
      </w: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4030696" cy="2267266"/>
            <wp:effectExtent l="0" t="0" r="0" b="0"/>
            <wp:docPr id="100029" name="Obraz 10002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35" r:link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30696" cy="226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►</w:t>
      </w:r>
      <w:r>
        <w:rPr>
          <w:b/>
          <w:color w:val="000000"/>
          <w:u w:color="000000"/>
        </w:rPr>
        <w:t>Była Przychodnia Kolejowa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Była przychodnia kolejowa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6951940" cy="3197892"/>
            <wp:effectExtent l="0" t="0" r="0" b="0"/>
            <wp:docPr id="100031" name="Obraz 10003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37" r:link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51940" cy="319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lastRenderedPageBreak/>
        <w:t xml:space="preserve">►Jezioro/zalew Bugaj </w:t>
      </w:r>
      <w:r>
        <w:rPr>
          <w:rStyle w:val="Odwoanieprzypisudolnego"/>
          <w:color w:val="000000"/>
          <w:sz w:val="20"/>
          <w:u w:color="000000"/>
        </w:rPr>
        <w:footnoteReference w:customMarkFollows="1" w:id="5"/>
        <w:t>5)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Zagospodarowanie jeziora Bugaj to najdłużej zapowiadana i ciągle tylko częściowo zrealizowana </w:t>
      </w:r>
      <w:r>
        <w:rPr>
          <w:color w:val="000000"/>
          <w:u w:color="000000"/>
        </w:rPr>
        <w:t>inwestycja w Piotrkowie Trybunalskim.. W roku 2019 ogłoszono przetarg na opracowanie koncepcji zagospodarowania jeziora. Koncepcję programu funkcjonalno-przestrzennego opracowała firma Pheno Horizon, która w maju 2019 roku zorganizowała w Urzędzie Miasta w</w:t>
      </w:r>
      <w:r>
        <w:rPr>
          <w:color w:val="000000"/>
          <w:u w:color="000000"/>
        </w:rPr>
        <w:t>arsztaty, podczas których o planach zagospodarowania terenów wokół Bugaju wypowiadali się zainteresowani mieszkańcy - wędkarze, przyrodnicy, radni, urzędnicy, członkowie rad osiedli. Projekt pn. „Rozwój ponadlokalnej oferty turystycznej na terenie Piotrkow</w:t>
      </w:r>
      <w:r>
        <w:rPr>
          <w:color w:val="000000"/>
          <w:u w:color="000000"/>
        </w:rPr>
        <w:t>a Trybunalskiego” zawarty jest w opracowywanej Strategii Zintegrowanych Inwestycji Terytorialnych Miejskiego Obszaru Funkcjonalnego Radomsko - Piotrków Trybunalski – Bełchatów.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Bugaj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5686095" cy="3191320"/>
            <wp:effectExtent l="0" t="0" r="0" b="0"/>
            <wp:docPr id="100033" name="Obraz 10003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39" r:link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86095" cy="31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►Piotrkowska Manufaktura (Sigmatex)</w:t>
      </w:r>
      <w:r>
        <w:rPr>
          <w:rStyle w:val="Odwoanieprzypisudolnego"/>
          <w:color w:val="000000"/>
          <w:sz w:val="20"/>
          <w:u w:color="000000"/>
        </w:rPr>
        <w:footnoteReference w:customMarkFollows="1" w:id="6"/>
        <w:t>6)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Znajdujący się przy</w:t>
      </w:r>
      <w:r>
        <w:rPr>
          <w:color w:val="000000"/>
          <w:u w:color="000000"/>
        </w:rPr>
        <w:t xml:space="preserve"> ul. Sulejowskiej budynek bardzo często nazywany jest mianem piotrkowskiej Manufaktury, a to za sprawą stylu i materiału z jakiego powstał. Jest to dawna siedziba fabryki włókienniczej, która powstała w 1896 roku. Po wojnie zakłady upaństwowiono. Od 1947 r</w:t>
      </w:r>
      <w:r>
        <w:rPr>
          <w:color w:val="000000"/>
          <w:u w:color="000000"/>
        </w:rPr>
        <w:t>oku w budynku przy obecnej ulicy Sulejowskiej powstały Zakłady Przemysłu Bawełnianego „Sigmatex”. Z kolei w roku 1951 działała tu także Piotrkowska Fabryka Mebli. Obecnie budynek jest własnością prywatną. Niestety od lat nie pełni żadnej funkcji, choć w pl</w:t>
      </w:r>
      <w:r>
        <w:rPr>
          <w:color w:val="000000"/>
          <w:u w:color="000000"/>
        </w:rPr>
        <w:t>anach (w latach 2006-2010) było m.in. otwarcie w nim galerii.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Manufaktura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3903124" cy="2610214"/>
            <wp:effectExtent l="0" t="0" r="0" b="0"/>
            <wp:docPr id="100035" name="Obraz 10003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41" r:link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03124" cy="261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►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Inne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>Fotografia  - Schrony na oś. Wyzwolenia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4406649" cy="2752725"/>
            <wp:effectExtent l="0" t="0" r="0" b="0"/>
            <wp:docPr id="100037" name="Obraz 10003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43" r:link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06649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Dostosowanie infrastruktury publicznej dla osób ze specjalnymi potrzebami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Wprowadzenie dla podmiotów publicznych </w:t>
      </w:r>
      <w:r>
        <w:rPr>
          <w:color w:val="000000"/>
          <w:u w:color="000000"/>
        </w:rPr>
        <w:t>obowiązku likwidacji barier dla niepełnosprawnych i seniorów ma ułatwić życie osobom ze szczególnymi potrzebami. Jednak wdrożenie dostępności we wszystkich obszarach to duże obciążenie finansowe i czasowe, zwłaszcza dla małych samorządów.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Ustawa o zapewnia</w:t>
      </w:r>
      <w:r>
        <w:rPr>
          <w:color w:val="000000"/>
          <w:u w:color="000000"/>
        </w:rPr>
        <w:t xml:space="preserve">niu dostępności osobom ze szczególnymi potrzebami nakłada nowe obowiązki na samorządy. Przepisy mają na celu stworzenie osobom ze szczególnymi potrzebami – z niepełnosprawnościami czy seniorom - warunki do bardziej samodzielnego i komfortowego korzystania </w:t>
      </w:r>
      <w:r>
        <w:rPr>
          <w:color w:val="000000"/>
          <w:u w:color="000000"/>
        </w:rPr>
        <w:t>z budynków i usług administracji publicznej i innych podmiotów publicznych - szkół, instytucji kultury, placówek służby zdrowia, pływalni. Od 20 września 2019 r. wszystkie podmioty publiczne muszą spełniać minimalne wymagania w zakresie trzech obszarów dos</w:t>
      </w:r>
      <w:r>
        <w:rPr>
          <w:color w:val="000000"/>
          <w:u w:color="000000"/>
        </w:rPr>
        <w:t>tępności, o których mowa w art. 6 ustawy - architektonicznej, cyfrowej i informacyjno-komunikacyjnej. Ponadto od 30 września 2020 r. w każdym urzędzie musi funkcjonować koordynator do spraw dostępności. Ma on czuwać, żeby urząd był dostępny dla każdego. Po</w:t>
      </w:r>
      <w:r>
        <w:rPr>
          <w:color w:val="000000"/>
          <w:u w:color="000000"/>
        </w:rPr>
        <w:t>dmioty publiczne muszą zapewnić: wolne od barier poziome i pionowe przestrzenie komunikacyjne budynków, czyli możliwość poruszania się po piętrach i pomiędzy piętrami, dostęp do wszystkich pomieszczeń, z wyłączeniem pomieszczeń technicznych w budynku, info</w:t>
      </w:r>
      <w:r>
        <w:rPr>
          <w:color w:val="000000"/>
          <w:u w:color="000000"/>
        </w:rPr>
        <w:t>rmację na temat rozkładu pomieszczeń w budynku, co najmniej w sposób wizualny i dotykowy lub głosowy - czyli umieścić w budynku np. schemat pomieszczeń, tyflomapę, infokiosk, które pomogą w szczególności osobie z niepełnosprawnością wzroku lub słuchu w lok</w:t>
      </w:r>
      <w:r>
        <w:rPr>
          <w:color w:val="000000"/>
          <w:u w:color="000000"/>
        </w:rPr>
        <w:t>alizacji pomieszczeń w budynku, wstęp do budynku osobie z psem asystującym, możliwość ewakuacji osobom ze szczególnymi potrzebami lub zapewnienie im innego sposobu ratunku (poprzez odpowiednie procedury i sprzęt, czy sygnalizację).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Podmiot publiczny przeka</w:t>
      </w:r>
      <w:r>
        <w:rPr>
          <w:color w:val="000000"/>
          <w:u w:color="000000"/>
        </w:rPr>
        <w:t>zuje co 4 lata, najpóźniej do dnia 31 marca danego roku, raport o stanie zapewniania dostępności osobom ze szczególnymi potrzebami w danym podmiocie, i publikuje go na swojej stronie podmiotowej Biuletynu Informacji Publicznej, a jeżeli nie ma strony podmi</w:t>
      </w:r>
      <w:r>
        <w:rPr>
          <w:color w:val="000000"/>
          <w:u w:color="000000"/>
        </w:rPr>
        <w:t>otowej Biuletynu Informacji Publicznej - na swojej stronie internetowej.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Na podstawie Zarządzenia Nr 66 z dnia 16 marca 2923 r, zmienionego Zarządzeniem Nr 67 z dnia 23 marca 2023 r wyznaczono Koordynatorów do spraw Dostępności w Urzędzie Miasta Piotrkowa </w:t>
      </w:r>
      <w:r>
        <w:rPr>
          <w:color w:val="000000"/>
          <w:u w:color="000000"/>
        </w:rPr>
        <w:t>Trybunalskiego. Do ich zadań należy w szczególności: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·wsparcie osób ze szczególnymi potrzebami w dostępie do usług świadczonych przez podmiot;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·przygotowanie i koordynacja wdrożenia planu działania na rzecz poprawy zapewniania dostępności osobom ze szczegó</w:t>
      </w:r>
      <w:r>
        <w:rPr>
          <w:color w:val="000000"/>
          <w:u w:color="000000"/>
        </w:rPr>
        <w:t>lnymi potrzebami przez podmiot;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·monitorowanie działalności podmiotu, w zakresie zapewniania dostępności osobom ze szczególnymi potrzebami.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Na podstawie art. 14 w związku z art. 6 ustawy z dnia 19 lipca 2019 r. o zapewnieniu dostępności osobom ze szczególn</w:t>
      </w:r>
      <w:r>
        <w:rPr>
          <w:color w:val="000000"/>
          <w:u w:color="000000"/>
        </w:rPr>
        <w:t>ymi potrzebami (Dz.U.2022.2240 t.j.) przyjęto na rok 2023 plan działania na rzecz poprawy zapewnienia dostępności osobom ze szczególnymi potrzebami.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 realizacji zadań zawartych w planie wyznaczeni zostali powołani Koordynatorzy do spraw Dostępności.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p</w:t>
      </w:r>
      <w:r>
        <w:rPr>
          <w:color w:val="000000"/>
          <w:u w:color="000000"/>
        </w:rPr>
        <w:t xml:space="preserve">odstawie dokonanej oceny stanu istniejącego można stwierdzić, że istniejąca na obszarze rewitalizacji infrastruktura publiczna w niezadawalającym stopniu spełnia wymogi ustawowe. </w:t>
      </w:r>
      <w:r>
        <w:rPr>
          <w:b/>
          <w:color w:val="000000"/>
          <w:u w:color="000000"/>
        </w:rPr>
        <w:t>Poniższe zestawienie</w:t>
      </w:r>
      <w:r>
        <w:rPr>
          <w:color w:val="000000"/>
          <w:u w:color="000000"/>
        </w:rPr>
        <w:t xml:space="preserve"> sporządzone zostało w kolejności odzwierciedlającej konc</w:t>
      </w:r>
      <w:r>
        <w:rPr>
          <w:color w:val="000000"/>
          <w:u w:color="000000"/>
        </w:rPr>
        <w:t>entrację obiektów wymagających podjęcia działań modernizacyjnych prowadzących do zgodności infrastruktury publicznej z ustawą (stan na 31.12.2021).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211"/>
      </w:tblGrid>
      <w:tr w:rsidR="00A916A4"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Podobszar</w:t>
            </w:r>
          </w:p>
        </w:tc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Liczba obiektów</w:t>
            </w:r>
          </w:p>
        </w:tc>
      </w:tr>
      <w:tr w:rsidR="00A916A4">
        <w:trPr>
          <w:trHeight w:val="366"/>
        </w:trPr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JS1</w:t>
            </w:r>
          </w:p>
        </w:tc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15</w:t>
            </w:r>
          </w:p>
        </w:tc>
      </w:tr>
      <w:tr w:rsidR="00A916A4"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JS13</w:t>
            </w:r>
          </w:p>
        </w:tc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7</w:t>
            </w:r>
          </w:p>
        </w:tc>
      </w:tr>
      <w:tr w:rsidR="00A916A4"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JS15</w:t>
            </w:r>
          </w:p>
        </w:tc>
        <w:tc>
          <w:tcPr>
            <w:tcW w:w="2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6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5.3.</w:t>
      </w:r>
      <w:r>
        <w:rPr>
          <w:b/>
          <w:color w:val="000000"/>
          <w:u w:color="000000"/>
        </w:rPr>
        <w:t xml:space="preserve">Inne metody badawcze wykorzystane w diagnozie </w:t>
      </w:r>
      <w:r>
        <w:rPr>
          <w:b/>
          <w:color w:val="000000"/>
          <w:u w:color="000000"/>
        </w:rPr>
        <w:t>szczegółowej obszaru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związku z prowadzonymi badaniami w ramach przygotowywania Gminnego Programu Rewitalizacji na lata 2024-2030 przeprowadzono konsultacje społeczne w zakresie przygotowania, prowadzenia i oceny rewitalizacji. Badanie przep</w:t>
      </w:r>
      <w:r>
        <w:rPr>
          <w:color w:val="000000"/>
          <w:u w:color="000000"/>
        </w:rPr>
        <w:t>rowadzono od 6 maja do 6 czerwca 2022 r. W badaniu ankietowym, przeprowadzonym przed wyznaczeniem obszaru zdegradowanego i obszaru rewitalizacji, aż 60,5% respondentów to mieszkańcy wyznaczonego na podstawie przeprowadzonej w kolejnym etapie, diagnozy obsz</w:t>
      </w:r>
      <w:r>
        <w:rPr>
          <w:color w:val="000000"/>
          <w:u w:color="000000"/>
        </w:rPr>
        <w:t>aru rewitalizacji. Ludność obszaru rewitalizacji stanowi 27,87% ludności miasta. Tak wysoki udział respondentów z obszaru rewitalizacji jest ewidentnym potwierdzeniem trafności przeprowadzonej później diagnozy w celu wyznaczenia obszaru zdegradowanego i ob</w:t>
      </w:r>
      <w:r>
        <w:rPr>
          <w:color w:val="000000"/>
          <w:u w:color="000000"/>
        </w:rPr>
        <w:t>szaru rewitalizacji miasta. Tak duży odsetek respondentów z obszaru rewitalizacji świadczy, że zdiagnozowane na tym obszarze w procesie delimitacji obszaru zdegradowanego i obszaru rewitalizacji stany kryzysowe pokrywają się z odczuciami społecznymi i stan</w:t>
      </w:r>
      <w:r>
        <w:rPr>
          <w:color w:val="000000"/>
          <w:u w:color="000000"/>
        </w:rPr>
        <w:t>owią silną motywację mieszkańców do czynnego włączenia się w proces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Poniżej podano podsumowanie odpowiedzi udzielonych przez respondentów z obszaru rewitalizacji. Dla porównania w nawiasach podane dane dotyczące zbioru odpowiedzi wszystkich </w:t>
      </w:r>
      <w:r>
        <w:rPr>
          <w:color w:val="000000"/>
          <w:u w:color="000000"/>
        </w:rPr>
        <w:t>uczestniczących w ankiecie interesariuszy.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Dla przejrzystości zachowano oryginalną treść pytań stawianych w ankiecie.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i/>
          <w:color w:val="000000"/>
          <w:u w:color="000000"/>
        </w:rPr>
        <w:t>Czy dostrzega Pan/i konieczność kontynuowania działań rewitalizacyjnych na terenie Miasta Piotrkowa Trybunalskiego?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92,3%</w:t>
      </w:r>
      <w:r>
        <w:rPr>
          <w:color w:val="000000"/>
          <w:u w:color="000000"/>
        </w:rPr>
        <w:t xml:space="preserve"> TAK, </w:t>
      </w:r>
      <w:r>
        <w:rPr>
          <w:b/>
          <w:color w:val="000000"/>
          <w:u w:color="000000"/>
        </w:rPr>
        <w:t xml:space="preserve">7,7% </w:t>
      </w:r>
      <w:r>
        <w:rPr>
          <w:color w:val="000000"/>
          <w:u w:color="000000"/>
        </w:rPr>
        <w:t xml:space="preserve">NIE 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i/>
          <w:color w:val="000000"/>
          <w:u w:color="000000"/>
        </w:rPr>
        <w:t>W jakim stopniu (w skali 1-5) zgadza się Pan/i z poniższymi stwierdzeniami. 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1 – zdecydowanie się nie zgadzam,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2 - raczej się nie zgadzam,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3 - trudno powiedzieć,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4 - raczej się zgadzam,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5 - zdecydowanie się zgadzam.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29"/>
        <w:gridCol w:w="1222"/>
        <w:gridCol w:w="1222"/>
        <w:gridCol w:w="1222"/>
        <w:gridCol w:w="1222"/>
        <w:gridCol w:w="1205"/>
      </w:tblGrid>
      <w:tr w:rsidR="00A916A4">
        <w:trPr>
          <w:trHeight w:val="465"/>
        </w:trPr>
        <w:tc>
          <w:tcPr>
            <w:tcW w:w="38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Miasto Piotrków Trybunalski </w:t>
            </w:r>
            <w:r>
              <w:rPr>
                <w:b/>
                <w:sz w:val="24"/>
              </w:rPr>
              <w:t>to dobre miejsce do:</w:t>
            </w:r>
          </w:p>
        </w:tc>
        <w:tc>
          <w:tcPr>
            <w:tcW w:w="108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08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08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08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06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5</w:t>
            </w:r>
          </w:p>
        </w:tc>
      </w:tr>
      <w:tr w:rsidR="00A916A4">
        <w:trPr>
          <w:trHeight w:val="465"/>
        </w:trPr>
        <w:tc>
          <w:tcPr>
            <w:tcW w:w="382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Mieszkania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(11,6%)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(14,0%)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(25,6%)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34,6% </w:t>
            </w:r>
            <w:r>
              <w:rPr>
                <w:i/>
                <w:sz w:val="24"/>
              </w:rPr>
              <w:t>(34,9%)</w:t>
            </w:r>
          </w:p>
        </w:tc>
        <w:tc>
          <w:tcPr>
            <w:tcW w:w="106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(13,9%)</w:t>
            </w:r>
          </w:p>
        </w:tc>
      </w:tr>
      <w:tr w:rsidR="00A916A4">
        <w:trPr>
          <w:trHeight w:val="465"/>
        </w:trPr>
        <w:tc>
          <w:tcPr>
            <w:tcW w:w="382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Pracy/prowadzenia działalności gospodarczej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34,6% </w:t>
            </w:r>
            <w:r>
              <w:rPr>
                <w:i/>
                <w:sz w:val="24"/>
              </w:rPr>
              <w:t>(27,9%)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(18,6%)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30,8% </w:t>
            </w:r>
            <w:r>
              <w:rPr>
                <w:i/>
                <w:sz w:val="24"/>
              </w:rPr>
              <w:t>(37,2%)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(9,3%)</w:t>
            </w:r>
          </w:p>
        </w:tc>
        <w:tc>
          <w:tcPr>
            <w:tcW w:w="106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3,8% </w:t>
            </w:r>
            <w:r>
              <w:rPr>
                <w:i/>
                <w:sz w:val="24"/>
              </w:rPr>
              <w:t>(7,0%)</w:t>
            </w:r>
          </w:p>
        </w:tc>
      </w:tr>
      <w:tr w:rsidR="00A916A4">
        <w:trPr>
          <w:trHeight w:val="465"/>
        </w:trPr>
        <w:tc>
          <w:tcPr>
            <w:tcW w:w="382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Planowania przyszłości dla siebie</w:t>
            </w:r>
            <w:r>
              <w:rPr>
                <w:sz w:val="24"/>
              </w:rPr>
              <w:t xml:space="preserve"> i swojej rodziny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34,6% </w:t>
            </w:r>
            <w:r>
              <w:rPr>
                <w:i/>
                <w:sz w:val="24"/>
              </w:rPr>
              <w:t>(27,9%)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(23,3%)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(30,2%)</w:t>
            </w:r>
          </w:p>
        </w:tc>
        <w:tc>
          <w:tcPr>
            <w:tcW w:w="108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11,6% </w:t>
            </w:r>
            <w:r>
              <w:rPr>
                <w:i/>
                <w:sz w:val="24"/>
              </w:rPr>
              <w:t>(13,9%)</w:t>
            </w:r>
          </w:p>
        </w:tc>
        <w:tc>
          <w:tcPr>
            <w:tcW w:w="106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3,8% </w:t>
            </w:r>
            <w:r>
              <w:rPr>
                <w:i/>
                <w:sz w:val="24"/>
              </w:rPr>
              <w:t>(4,7%)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val="single" w:color="000000"/>
        </w:rPr>
        <w:t>Wnioski: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lastRenderedPageBreak/>
        <w:t xml:space="preserve">Zdaniem respondentów z obszaru rewitalizacji, Miasto Piotrków Trybunalski to, podobnie jak w opinii większości mieszkańców, niezłe miejsce do mieszkania, </w:t>
      </w:r>
      <w:r>
        <w:rPr>
          <w:i/>
          <w:color w:val="000000"/>
          <w:u w:color="000000"/>
        </w:rPr>
        <w:t>w którym mieszkańcy obszaru rewitalizacji odczuwają jednak wyraźniej niż pozostali mieszkańcy miasta, niedostatek warunków do swego rozwoju zawodowego co z kolei nie skłania ich do planowania przyszłości własnej i swojej rodziny w tym mieście</w:t>
      </w:r>
      <w:r>
        <w:rPr>
          <w:color w:val="000000"/>
          <w:u w:color="000000"/>
        </w:rPr>
        <w:t>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i/>
          <w:color w:val="000000"/>
          <w:u w:color="000000"/>
        </w:rPr>
        <w:t>Które z o</w:t>
      </w:r>
      <w:r>
        <w:rPr>
          <w:i/>
          <w:color w:val="000000"/>
          <w:u w:color="000000"/>
        </w:rPr>
        <w:t>bszarów/obiektów znajdujących się na terenie Miasta powinny zostać poddane rewitalizacji?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25"/>
        <w:gridCol w:w="7597"/>
      </w:tblGrid>
      <w:tr w:rsidR="00A916A4">
        <w:trPr>
          <w:trHeight w:val="566"/>
        </w:trPr>
        <w:tc>
          <w:tcPr>
            <w:tcW w:w="24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Ulice, place: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(nazwa)</w:t>
            </w:r>
          </w:p>
        </w:tc>
        <w:tc>
          <w:tcPr>
            <w:tcW w:w="66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</w:rPr>
              <w:t>Ulice w okolicy Rynku, część Starego Miasta od murów miejskich do ulicy Skłodowskiej-Curie – JS1</w:t>
            </w:r>
          </w:p>
          <w:p w:rsidR="00A916A4" w:rsidRDefault="00EC7227">
            <w:r>
              <w:t>2.</w:t>
            </w:r>
            <w:r>
              <w:rPr>
                <w:b/>
              </w:rPr>
              <w:t>Dawna dzielnica żydowska(*) – JS1</w:t>
            </w:r>
          </w:p>
          <w:p w:rsidR="00A916A4" w:rsidRDefault="00EC7227">
            <w:r>
              <w:t>3.</w:t>
            </w:r>
            <w:r>
              <w:rPr>
                <w:b/>
              </w:rPr>
              <w:t>Ul, Wł.</w:t>
            </w:r>
            <w:r>
              <w:rPr>
                <w:b/>
              </w:rPr>
              <w:t xml:space="preserve"> Broniewskiego w kierunku do ronda Bugaj - JS13</w:t>
            </w:r>
          </w:p>
          <w:p w:rsidR="00A916A4" w:rsidRDefault="00EC7227">
            <w:r>
              <w:t>4.</w:t>
            </w:r>
            <w:r>
              <w:rPr>
                <w:b/>
              </w:rPr>
              <w:t>Kopernika (od Ronda Sulejowskiego do Sienkiewicza) – JS1</w:t>
            </w:r>
            <w:r>
              <w:t xml:space="preserve">,, </w:t>
            </w:r>
          </w:p>
          <w:p w:rsidR="00A916A4" w:rsidRDefault="00EC7227">
            <w:r>
              <w:t>5.</w:t>
            </w:r>
            <w:r>
              <w:rPr>
                <w:b/>
              </w:rPr>
              <w:t>Plac przy ulicy Zamkowej, na wprost Muzeum</w:t>
            </w:r>
            <w:r>
              <w:t xml:space="preserve"> – </w:t>
            </w:r>
            <w:r>
              <w:rPr>
                <w:b/>
              </w:rPr>
              <w:t>JS1</w:t>
            </w:r>
          </w:p>
          <w:p w:rsidR="00A916A4" w:rsidRDefault="00EC7227">
            <w:r>
              <w:t>6.</w:t>
            </w:r>
            <w:r>
              <w:rPr>
                <w:b/>
              </w:rPr>
              <w:t>Ul. Roosevelta</w:t>
            </w:r>
            <w:r>
              <w:t xml:space="preserve"> – </w:t>
            </w:r>
            <w:r>
              <w:rPr>
                <w:b/>
              </w:rPr>
              <w:t xml:space="preserve">JS15 </w:t>
            </w:r>
          </w:p>
          <w:p w:rsidR="00A916A4" w:rsidRDefault="00EC7227">
            <w:r>
              <w:t>7.</w:t>
            </w:r>
            <w:r>
              <w:rPr>
                <w:b/>
              </w:rPr>
              <w:t>Ul. Żeromskiego (odcinek od ronda Żołnierzy Wyklętych do ronda Trybu</w:t>
            </w:r>
            <w:r>
              <w:rPr>
                <w:b/>
              </w:rPr>
              <w:t>sa) - remont nawierzchni – JS15</w:t>
            </w:r>
            <w:r>
              <w:t xml:space="preserve">, </w:t>
            </w:r>
          </w:p>
          <w:p w:rsidR="00A916A4" w:rsidRDefault="00EC7227">
            <w:r>
              <w:t>8.</w:t>
            </w:r>
            <w:r>
              <w:rPr>
                <w:b/>
              </w:rPr>
              <w:t xml:space="preserve">Teren pomiędzy ulicami Narutowicza i Kopernika – JS1 </w:t>
            </w:r>
            <w:r>
              <w:t xml:space="preserve">, </w:t>
            </w:r>
          </w:p>
          <w:p w:rsidR="00A916A4" w:rsidRDefault="00EC7227">
            <w:r>
              <w:t>9.</w:t>
            </w:r>
            <w:r>
              <w:rPr>
                <w:b/>
              </w:rPr>
              <w:t>Kwartał w obrębie ulic Narutowicza, al. 3 Maja, Kopernika, Próchnika - rewitalizacja zabudowy nawiązującą do tej znajdującej się w centrum, - JS1</w:t>
            </w:r>
          </w:p>
          <w:p w:rsidR="00A916A4" w:rsidRDefault="00EC7227">
            <w:r>
              <w:t>10.</w:t>
            </w:r>
            <w:r>
              <w:rPr>
                <w:b/>
              </w:rPr>
              <w:t>Rewitalizacja</w:t>
            </w:r>
            <w:r>
              <w:rPr>
                <w:b/>
              </w:rPr>
              <w:t xml:space="preserve"> ulic na Podzamczu (Starowarszawska, Garncarska, Zamkowa, Pereca, Wspólna, Jerozolimska) – JS1 </w:t>
            </w:r>
          </w:p>
          <w:p w:rsidR="00A916A4" w:rsidRDefault="00EC7227">
            <w:r>
              <w:t>11.</w:t>
            </w:r>
            <w:r>
              <w:rPr>
                <w:b/>
              </w:rPr>
              <w:t>Obiekty secesyjne na ul. Dąbrowskiego, m.in.: Willa Wanda, dawne kino - JS1</w:t>
            </w:r>
            <w:r>
              <w:t xml:space="preserve"> ,</w:t>
            </w:r>
          </w:p>
          <w:p w:rsidR="00A916A4" w:rsidRDefault="00EC7227">
            <w:r>
              <w:t>12.</w:t>
            </w:r>
            <w:r>
              <w:rPr>
                <w:b/>
              </w:rPr>
              <w:t>Ul. Pawlikowskiego na Osiedlu Wyzwolenia – JS13</w:t>
            </w:r>
          </w:p>
          <w:p w:rsidR="00A916A4" w:rsidRDefault="00EC7227">
            <w:r>
              <w:t>13.</w:t>
            </w:r>
            <w:r>
              <w:rPr>
                <w:b/>
              </w:rPr>
              <w:t xml:space="preserve"> Pl. Kościuszki – JS1</w:t>
            </w:r>
            <w:r>
              <w:t>,</w:t>
            </w:r>
          </w:p>
          <w:p w:rsidR="00A916A4" w:rsidRDefault="00EC7227">
            <w:r>
              <w:t>14</w:t>
            </w:r>
            <w:r>
              <w:t>.</w:t>
            </w:r>
            <w:r>
              <w:rPr>
                <w:b/>
              </w:rPr>
              <w:t xml:space="preserve">Wystające krawężniki na przejściach i przejazdach dla rowerów </w:t>
            </w:r>
          </w:p>
        </w:tc>
      </w:tr>
      <w:tr w:rsidR="00A916A4">
        <w:trPr>
          <w:trHeight w:val="837"/>
        </w:trPr>
        <w:tc>
          <w:tcPr>
            <w:tcW w:w="24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Obiekty mieszkalne: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(nazwa, adres)</w:t>
            </w:r>
          </w:p>
        </w:tc>
        <w:tc>
          <w:tcPr>
            <w:tcW w:w="66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</w:rPr>
              <w:t>Walące się kamienice w centrum miasta, ulica Wojska Polskiego od wiaduktu do ulicy Armii Krajowej – JS1</w:t>
            </w:r>
          </w:p>
          <w:p w:rsidR="00A916A4" w:rsidRDefault="00EC7227">
            <w:r>
              <w:t>2.</w:t>
            </w:r>
            <w:r>
              <w:rPr>
                <w:b/>
              </w:rPr>
              <w:t xml:space="preserve">Obiekty mieszkalne przy ulicy Starowarszawskiej </w:t>
            </w:r>
            <w:r>
              <w:rPr>
                <w:b/>
              </w:rPr>
              <w:t>- JS1</w:t>
            </w:r>
          </w:p>
        </w:tc>
      </w:tr>
      <w:tr w:rsidR="00A916A4">
        <w:trPr>
          <w:trHeight w:val="683"/>
        </w:trPr>
        <w:tc>
          <w:tcPr>
            <w:tcW w:w="24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Obiekty edukacyjno-oświatowe: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(nazwa, adres)</w:t>
            </w:r>
          </w:p>
        </w:tc>
        <w:tc>
          <w:tcPr>
            <w:tcW w:w="66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</w:rPr>
              <w:t>Obiekt SP 11 – ul. Kazimierz Szmidta 3 – JS13</w:t>
            </w:r>
          </w:p>
        </w:tc>
      </w:tr>
      <w:tr w:rsidR="00A916A4">
        <w:trPr>
          <w:trHeight w:val="992"/>
        </w:trPr>
        <w:tc>
          <w:tcPr>
            <w:tcW w:w="24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Obiekty zabytkowe: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(nazwa, adres)</w:t>
            </w:r>
          </w:p>
        </w:tc>
        <w:tc>
          <w:tcPr>
            <w:tcW w:w="66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</w:rPr>
              <w:t>Ruiny na Starym Mieście, - JS1</w:t>
            </w:r>
          </w:p>
          <w:p w:rsidR="00A916A4" w:rsidRDefault="00EC7227">
            <w:r>
              <w:t>2.</w:t>
            </w:r>
            <w:r>
              <w:rPr>
                <w:b/>
              </w:rPr>
              <w:t>Browar Braulińskiego i Spana przy ul. Wojska Polskiego – JS1</w:t>
            </w:r>
          </w:p>
          <w:p w:rsidR="00A916A4" w:rsidRDefault="00EC7227">
            <w:r>
              <w:t>3.</w:t>
            </w:r>
            <w:r>
              <w:rPr>
                <w:b/>
              </w:rPr>
              <w:t xml:space="preserve">Budynek hotelu </w:t>
            </w:r>
            <w:r>
              <w:rPr>
                <w:b/>
              </w:rPr>
              <w:t>"Comfort" przy ul. Dąbrowskiego, - JS1</w:t>
            </w:r>
          </w:p>
        </w:tc>
      </w:tr>
      <w:tr w:rsidR="00A916A4">
        <w:trPr>
          <w:trHeight w:val="544"/>
        </w:trPr>
        <w:tc>
          <w:tcPr>
            <w:tcW w:w="24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Obiekty kultury: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(nazwa, adres)</w:t>
            </w:r>
          </w:p>
        </w:tc>
        <w:tc>
          <w:tcPr>
            <w:tcW w:w="66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</w:rPr>
              <w:t>Amfiteatr Miejski – JS1</w:t>
            </w:r>
          </w:p>
        </w:tc>
      </w:tr>
      <w:tr w:rsidR="00A916A4">
        <w:trPr>
          <w:trHeight w:val="977"/>
        </w:trPr>
        <w:tc>
          <w:tcPr>
            <w:tcW w:w="24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Obiekty rekreacyjno-sportowe: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(nazwa, adres)</w:t>
            </w:r>
          </w:p>
        </w:tc>
        <w:tc>
          <w:tcPr>
            <w:tcW w:w="66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</w:rPr>
              <w:t>orlik przy Ceramicznej - totalny bałagan wokół boiska – JS13</w:t>
            </w:r>
          </w:p>
          <w:p w:rsidR="00A916A4" w:rsidRDefault="00EC7227">
            <w:r>
              <w:t>2.</w:t>
            </w:r>
            <w:r>
              <w:rPr>
                <w:b/>
              </w:rPr>
              <w:t>tereny/obiekty przy jeziorze Bugaj – JS13</w:t>
            </w:r>
          </w:p>
          <w:p w:rsidR="00A916A4" w:rsidRDefault="00EC7227">
            <w:r>
              <w:t>3.</w:t>
            </w:r>
            <w:r>
              <w:rPr>
                <w:b/>
              </w:rPr>
              <w:t xml:space="preserve">Skwer Rawity przy skrzyżowaniu ulic Wojska Polskiego/Armii Krajowej – JS1, </w:t>
            </w:r>
          </w:p>
          <w:p w:rsidR="00A916A4" w:rsidRDefault="00EC7227">
            <w:r>
              <w:t>4.</w:t>
            </w:r>
            <w:r>
              <w:rPr>
                <w:b/>
              </w:rPr>
              <w:t xml:space="preserve">Kąpielisko "Słoneczko" przy Jeziorze Bugaj – JS1, </w:t>
            </w:r>
          </w:p>
        </w:tc>
      </w:tr>
      <w:tr w:rsidR="00A916A4">
        <w:trPr>
          <w:trHeight w:val="990"/>
        </w:trPr>
        <w:tc>
          <w:tcPr>
            <w:tcW w:w="24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Inne (opisać jakie):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(nazwa, adres)</w:t>
            </w:r>
          </w:p>
          <w:p w:rsidR="00A916A4" w:rsidRDefault="00EC7227">
            <w:pPr>
              <w:jc w:val="left"/>
            </w:pPr>
            <w:r>
              <w:rPr>
                <w:b/>
              </w:rPr>
              <w:t>Obiekty/tereny zdegradowane</w:t>
            </w:r>
          </w:p>
        </w:tc>
        <w:tc>
          <w:tcPr>
            <w:tcW w:w="66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</w:rPr>
              <w:t>Tereny wzdłuż linii kolejowych</w:t>
            </w:r>
            <w:r>
              <w:t xml:space="preserve"> – </w:t>
            </w:r>
            <w:r>
              <w:rPr>
                <w:b/>
              </w:rPr>
              <w:t xml:space="preserve">JS1 </w:t>
            </w:r>
          </w:p>
          <w:p w:rsidR="00A916A4" w:rsidRDefault="00EC7227">
            <w:r>
              <w:t>2.</w:t>
            </w:r>
            <w:r>
              <w:rPr>
                <w:b/>
              </w:rPr>
              <w:t>niezagospodarowane t</w:t>
            </w:r>
            <w:r>
              <w:rPr>
                <w:b/>
              </w:rPr>
              <w:t xml:space="preserve">ereny przy jeziorze Bugaj –JS13 </w:t>
            </w:r>
          </w:p>
          <w:p w:rsidR="00A916A4" w:rsidRDefault="00EC7227">
            <w:r>
              <w:t>3.</w:t>
            </w:r>
            <w:r>
              <w:rPr>
                <w:b/>
              </w:rPr>
              <w:t>dawna restauracja Europa – Stronczyńskiego 2</w:t>
            </w:r>
            <w:r>
              <w:t xml:space="preserve"> – </w:t>
            </w:r>
            <w:r>
              <w:rPr>
                <w:b/>
              </w:rPr>
              <w:t>JS1,</w:t>
            </w:r>
          </w:p>
          <w:p w:rsidR="00A916A4" w:rsidRDefault="00EC7227">
            <w:r>
              <w:t>4.</w:t>
            </w:r>
            <w:r>
              <w:rPr>
                <w:b/>
              </w:rPr>
              <w:t>Budynek byłego hotelu "Comfort" przy ul. Dąbrowskiego – JS1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(*) na dawną żydowską dzielnicę składały się m.in.: zecernia Henocha Folmana przy ul. Garncarskiej, </w:t>
      </w:r>
      <w:r>
        <w:rPr>
          <w:i/>
          <w:color w:val="000000"/>
          <w:u w:color="000000"/>
        </w:rPr>
        <w:t>siedziba „Bundu" na dzisiejszej ul. Konarskiego, Żydowskie Towarzystwo Gimnastyczno-Sportowe „Makabi" przy ul. Piłsudskiego 25 (dzisiaj ul. Wojska Polskiego), ale również ognisko rozwoju żydowskiej kultury muzycznej i literackiej w siedzibie „Hazomir" przy</w:t>
      </w:r>
      <w:r>
        <w:rPr>
          <w:i/>
          <w:color w:val="000000"/>
          <w:u w:color="000000"/>
        </w:rPr>
        <w:t xml:space="preserve"> ul. Rycerskiej</w:t>
      </w:r>
      <w:r>
        <w:rPr>
          <w:color w:val="000000"/>
          <w:u w:color="000000"/>
        </w:rPr>
        <w:t>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Uwaga</w:t>
      </w:r>
      <w:r>
        <w:rPr>
          <w:color w:val="000000"/>
          <w:u w:color="000000"/>
        </w:rPr>
        <w:t>: Zaznaczone symbole oznaczają dany podobszar rewitalizacji: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JS1 – Śródmieście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JS 13 – Bugaj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JS 15 - Żwirki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lastRenderedPageBreak/>
        <w:t>4. </w:t>
      </w:r>
      <w:r>
        <w:rPr>
          <w:i/>
          <w:color w:val="000000"/>
          <w:u w:color="000000"/>
        </w:rPr>
        <w:t xml:space="preserve">Jakie problemy </w:t>
      </w:r>
      <w:r>
        <w:rPr>
          <w:b/>
          <w:i/>
          <w:color w:val="000000"/>
          <w:u w:color="000000"/>
        </w:rPr>
        <w:t>społeczne</w:t>
      </w:r>
      <w:r>
        <w:rPr>
          <w:i/>
          <w:color w:val="000000"/>
          <w:u w:color="000000"/>
        </w:rPr>
        <w:t xml:space="preserve"> występują Pani/a zdaniem w Piotrkowie Trybunalskim? Proszę określić stopień zagrożenia problemem. (Dla porównania w nawiasach podane dane dotyczące zbioru odpowiedzi wszystkich uczestniczących w ankiecie interesariuszy).</w:t>
      </w:r>
    </w:p>
    <w:p w:rsidR="00A77B3E" w:rsidRDefault="00EC7227">
      <w:pPr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8"/>
        <w:gridCol w:w="1309"/>
        <w:gridCol w:w="1154"/>
        <w:gridCol w:w="1309"/>
        <w:gridCol w:w="1292"/>
      </w:tblGrid>
      <w:tr w:rsidR="00A916A4">
        <w:trPr>
          <w:trHeight w:val="428"/>
        </w:trPr>
        <w:tc>
          <w:tcPr>
            <w:tcW w:w="466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Rodzaj Problemu</w:t>
            </w:r>
          </w:p>
        </w:tc>
        <w:tc>
          <w:tcPr>
            <w:tcW w:w="4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Stopień zagrożen</w:t>
            </w:r>
            <w:r>
              <w:rPr>
                <w:b/>
                <w:sz w:val="24"/>
              </w:rPr>
              <w:t>ia problemem</w:t>
            </w:r>
          </w:p>
        </w:tc>
      </w:tr>
      <w:tr w:rsidR="00A916A4">
        <w:trPr>
          <w:trHeight w:val="534"/>
        </w:trPr>
        <w:tc>
          <w:tcPr>
            <w:tcW w:w="466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Brak problemu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Niski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Średni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Wysoki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Zła sytuacja na lokalnym rynku pracy </w:t>
            </w:r>
          </w:p>
          <w:p w:rsidR="00A916A4" w:rsidRDefault="00EC7227">
            <w:r>
              <w:rPr>
                <w:i/>
                <w:sz w:val="24"/>
              </w:rPr>
              <w:t>(bezrobocie, niskie wynagrodzenia, mało atrakcyjne miejsca pracy, itp.)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 xml:space="preserve">3,8% 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(7,0%)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11,5% </w:t>
            </w:r>
            <w:r>
              <w:rPr>
                <w:i/>
              </w:rPr>
              <w:t>(7,0%)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23,1% </w:t>
            </w:r>
            <w:r>
              <w:rPr>
                <w:i/>
              </w:rPr>
              <w:t>(30,2%</w:t>
            </w:r>
            <w:r>
              <w:rPr>
                <w:b/>
              </w:rPr>
              <w:t>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61,6% </w:t>
            </w:r>
            <w:r>
              <w:rPr>
                <w:i/>
              </w:rPr>
              <w:t>(55,8%)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Patologie społeczne </w:t>
            </w:r>
          </w:p>
          <w:p w:rsidR="00A916A4" w:rsidRDefault="00EC7227">
            <w:r>
              <w:rPr>
                <w:i/>
                <w:sz w:val="24"/>
              </w:rPr>
              <w:t xml:space="preserve">(alkoholizm, </w:t>
            </w:r>
            <w:r>
              <w:rPr>
                <w:i/>
                <w:sz w:val="24"/>
              </w:rPr>
              <w:t>narkomania, przemoc w rodzinie, itp.)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>7,7%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(4,7%)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23,1% </w:t>
            </w:r>
            <w:r>
              <w:rPr>
                <w:i/>
              </w:rPr>
              <w:t>(23,3</w:t>
            </w:r>
            <w:r>
              <w:rPr>
                <w:b/>
              </w:rPr>
              <w:t>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38,5% </w:t>
            </w:r>
            <w:r>
              <w:rPr>
                <w:i/>
              </w:rPr>
              <w:t>(34,9%)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30,7% </w:t>
            </w:r>
            <w:r>
              <w:rPr>
                <w:i/>
              </w:rPr>
              <w:t>(37,1%)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Ubóstwo </w:t>
            </w:r>
          </w:p>
          <w:p w:rsidR="00A916A4" w:rsidRDefault="00EC7227">
            <w:r>
              <w:rPr>
                <w:i/>
                <w:sz w:val="24"/>
              </w:rPr>
              <w:t>(duży odsetek ludzi ubogich, bezdomność, żebractwo)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 xml:space="preserve">3,8% 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(2,3%)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30,7% </w:t>
            </w:r>
            <w:r>
              <w:rPr>
                <w:i/>
              </w:rPr>
              <w:t>(32,3%)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50,0% </w:t>
            </w:r>
            <w:r>
              <w:rPr>
                <w:i/>
              </w:rPr>
              <w:t>(42,1%)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15,5% 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(23,3%)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Złe warunki mieszkaniowe </w:t>
            </w:r>
          </w:p>
          <w:p w:rsidR="00A916A4" w:rsidRDefault="00EC7227">
            <w:r>
              <w:rPr>
                <w:i/>
                <w:sz w:val="24"/>
              </w:rPr>
              <w:t xml:space="preserve">(zły stan </w:t>
            </w:r>
            <w:r>
              <w:rPr>
                <w:i/>
                <w:sz w:val="24"/>
              </w:rPr>
              <w:t>techniczny lokali mieszkalnych, brak dostępności do mediów: co, wod-kan, gaz)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 xml:space="preserve">3,8% 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(7,0%)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38,5% </w:t>
            </w:r>
            <w:r>
              <w:rPr>
                <w:i/>
              </w:rPr>
              <w:t>(32,3%)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34,6% </w:t>
            </w:r>
            <w:r>
              <w:rPr>
                <w:i/>
              </w:rPr>
              <w:t>(34,9%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23,1% </w:t>
            </w:r>
            <w:r>
              <w:rPr>
                <w:i/>
              </w:rPr>
              <w:t>(25,8%)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Niskie poczucie bezpieczeństwa </w:t>
            </w:r>
          </w:p>
          <w:p w:rsidR="00A916A4" w:rsidRDefault="00EC7227">
            <w:r>
              <w:rPr>
                <w:i/>
                <w:sz w:val="24"/>
              </w:rPr>
              <w:t>(kradzieże, rozboje, wypadki, itp.)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 xml:space="preserve">7,7% 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(7,0%)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46,2% </w:t>
            </w:r>
            <w:r>
              <w:rPr>
                <w:i/>
              </w:rPr>
              <w:t>(39,5%)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26,9% </w:t>
            </w:r>
            <w:r>
              <w:rPr>
                <w:i/>
              </w:rPr>
              <w:t>(32,3%)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19,2% </w:t>
            </w:r>
            <w:r>
              <w:rPr>
                <w:i/>
              </w:rPr>
              <w:t>(21,2%)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Słaba integracja mieszkańców </w:t>
            </w:r>
          </w:p>
          <w:p w:rsidR="00A916A4" w:rsidRDefault="00EC7227">
            <w:r>
              <w:rPr>
                <w:i/>
                <w:sz w:val="24"/>
              </w:rPr>
              <w:t>(brak więzi międzyludzkich)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11,5% </w:t>
            </w:r>
            <w:r>
              <w:rPr>
                <w:i/>
              </w:rPr>
              <w:t>(7,0%)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11,5% </w:t>
            </w:r>
            <w:r>
              <w:rPr>
                <w:i/>
              </w:rPr>
              <w:t>(16,0%)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38,5% </w:t>
            </w:r>
            <w:r>
              <w:rPr>
                <w:i/>
              </w:rPr>
              <w:t>(42,1%)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38,5% </w:t>
            </w:r>
            <w:r>
              <w:rPr>
                <w:i/>
              </w:rPr>
              <w:t>(34,9%)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>Słaba współpraca instytucji publicznych z mieszkańcami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3,8% </w:t>
            </w:r>
          </w:p>
          <w:p w:rsidR="00A916A4" w:rsidRDefault="00EC7227">
            <w:pPr>
              <w:jc w:val="left"/>
            </w:pPr>
            <w:r>
              <w:rPr>
                <w:i/>
              </w:rPr>
              <w:t>(7,0%)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11,6% </w:t>
            </w:r>
            <w:r>
              <w:rPr>
                <w:i/>
              </w:rPr>
              <w:t>(11,4%)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50,0% </w:t>
            </w:r>
            <w:r>
              <w:rPr>
                <w:i/>
              </w:rPr>
              <w:t>(42,1%)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34,6% </w:t>
            </w:r>
            <w:r>
              <w:rPr>
                <w:i/>
              </w:rPr>
              <w:t>(39,5%)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Słaba oferta spędzenia wolnego czasu </w:t>
            </w:r>
          </w:p>
          <w:p w:rsidR="00A916A4" w:rsidRDefault="00EC7227">
            <w:r>
              <w:rPr>
                <w:i/>
                <w:sz w:val="24"/>
              </w:rPr>
              <w:t>(kulturalna, sportowa, rekreacyjna)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 xml:space="preserve">3,8% 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(4,7%)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11,5% </w:t>
            </w:r>
            <w:r>
              <w:rPr>
                <w:i/>
              </w:rPr>
              <w:t>(20,9%)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30,7% </w:t>
            </w:r>
            <w:r>
              <w:rPr>
                <w:i/>
              </w:rPr>
              <w:t>(32,3%)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54,0% </w:t>
            </w:r>
            <w:r>
              <w:rPr>
                <w:i/>
              </w:rPr>
              <w:t>(42,1%)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>Niski poziom lokalnej edukacji, zarówno na szczeblu podstawowym jak i ponadpodstawowym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 xml:space="preserve">7,7% 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(9,3%)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46,2% </w:t>
            </w:r>
            <w:r>
              <w:rPr>
                <w:i/>
              </w:rPr>
              <w:t>(48,9%)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26,9% </w:t>
            </w:r>
            <w:r>
              <w:rPr>
                <w:i/>
              </w:rPr>
              <w:t>(20,9%</w:t>
            </w:r>
            <w:r>
              <w:rPr>
                <w:i/>
              </w:rPr>
              <w:t>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19,2% </w:t>
            </w:r>
            <w:r>
              <w:rPr>
                <w:i/>
              </w:rPr>
              <w:t>(20,9%)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>Problemy z opieką nad dziećmi w wieku przedszkolnym</w:t>
            </w:r>
          </w:p>
          <w:p w:rsidR="00A916A4" w:rsidRDefault="00EC7227">
            <w:r>
              <w:rPr>
                <w:i/>
                <w:sz w:val="24"/>
              </w:rPr>
              <w:t>(np. z powodu niedoboru miejsc w żłobkach i przedszkolach)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11,6% </w:t>
            </w:r>
            <w:r>
              <w:rPr>
                <w:i/>
              </w:rPr>
              <w:t>(14,2%)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50,0% </w:t>
            </w:r>
            <w:r>
              <w:rPr>
                <w:i/>
              </w:rPr>
              <w:t>(48,9%)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19,2% </w:t>
            </w:r>
            <w:r>
              <w:rPr>
                <w:i/>
              </w:rPr>
              <w:t>(20,9%)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19,2% </w:t>
            </w:r>
            <w:r>
              <w:rPr>
                <w:i/>
              </w:rPr>
              <w:t>(16,0%)</w:t>
            </w:r>
          </w:p>
        </w:tc>
      </w:tr>
      <w:tr w:rsidR="00A916A4">
        <w:trPr>
          <w:trHeight w:val="615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Problemy związane ze starzeniem się społeczeństwa </w:t>
            </w:r>
            <w:r>
              <w:rPr>
                <w:i/>
                <w:sz w:val="24"/>
              </w:rPr>
              <w:t xml:space="preserve">(duży odsetek osób </w:t>
            </w:r>
            <w:r>
              <w:rPr>
                <w:i/>
                <w:sz w:val="24"/>
              </w:rPr>
              <w:t>starszych, migracja ludzi młodych)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 xml:space="preserve">3,8% </w:t>
            </w:r>
            <w:r>
              <w:rPr>
                <w:b/>
                <w:color w:val="000000"/>
                <w:u w:color="000000"/>
              </w:rPr>
              <w:br/>
            </w:r>
            <w:r>
              <w:rPr>
                <w:i/>
                <w:color w:val="000000"/>
                <w:u w:color="000000"/>
              </w:rPr>
              <w:t>(2,3%)</w:t>
            </w:r>
          </w:p>
        </w:tc>
        <w:tc>
          <w:tcPr>
            <w:tcW w:w="10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>0,0% (</w:t>
            </w:r>
            <w:r>
              <w:rPr>
                <w:i/>
              </w:rPr>
              <w:t>0,0%)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19,3% </w:t>
            </w:r>
            <w:r>
              <w:rPr>
                <w:i/>
              </w:rPr>
              <w:t>(23,3</w:t>
            </w:r>
            <w:r>
              <w:rPr>
                <w:b/>
              </w:rPr>
              <w:t>%)</w:t>
            </w:r>
          </w:p>
        </w:tc>
        <w:tc>
          <w:tcPr>
            <w:tcW w:w="11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 xml:space="preserve">76,9% </w:t>
            </w:r>
            <w:r>
              <w:rPr>
                <w:i/>
              </w:rPr>
              <w:t>(74,4%)</w:t>
            </w:r>
          </w:p>
        </w:tc>
      </w:tr>
      <w:tr w:rsidR="00A916A4">
        <w:trPr>
          <w:trHeight w:val="3428"/>
        </w:trPr>
        <w:tc>
          <w:tcPr>
            <w:tcW w:w="46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>Inne (jakie):</w:t>
            </w:r>
          </w:p>
        </w:tc>
        <w:tc>
          <w:tcPr>
            <w:tcW w:w="4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  <w:sz w:val="24"/>
              </w:rPr>
              <w:t>Mało miejsc do spacerów z psiakami,</w:t>
            </w:r>
          </w:p>
          <w:p w:rsidR="00A916A4" w:rsidRDefault="00EC7227">
            <w:pPr>
              <w:jc w:val="left"/>
            </w:pPr>
            <w:r>
              <w:t>2.</w:t>
            </w:r>
            <w:r>
              <w:rPr>
                <w:b/>
                <w:sz w:val="24"/>
              </w:rPr>
              <w:t xml:space="preserve">Mało terenów zielonych w mieście, gdzie można było by odpocząć. </w:t>
            </w:r>
          </w:p>
          <w:p w:rsidR="00A916A4" w:rsidRDefault="00EC7227">
            <w:pPr>
              <w:jc w:val="left"/>
            </w:pPr>
            <w:r>
              <w:t>3.</w:t>
            </w:r>
            <w:r>
              <w:rPr>
                <w:b/>
                <w:sz w:val="24"/>
              </w:rPr>
              <w:t>Mało atrakcji turystycznych ,</w:t>
            </w:r>
          </w:p>
          <w:p w:rsidR="00A916A4" w:rsidRDefault="00EC7227">
            <w:pPr>
              <w:jc w:val="left"/>
            </w:pPr>
            <w:r>
              <w:t>4.</w:t>
            </w:r>
            <w:r>
              <w:rPr>
                <w:b/>
                <w:sz w:val="24"/>
              </w:rPr>
              <w:t xml:space="preserve">Odpływ młodych wykształconych ludzi brak atrakcyjnych miejsc pracy, </w:t>
            </w:r>
          </w:p>
          <w:p w:rsidR="00A916A4" w:rsidRDefault="00EC7227">
            <w:pPr>
              <w:jc w:val="left"/>
            </w:pPr>
            <w:r>
              <w:t>5.</w:t>
            </w:r>
            <w:r>
              <w:rPr>
                <w:b/>
                <w:sz w:val="24"/>
              </w:rPr>
              <w:t xml:space="preserve">Spadek dostępności do handlu i usług dla mieszkańców - wycofywanie się lokalnych firm z obszaru i likwidacje działalności - wysokie zagrożenie 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val="single" w:color="000000"/>
        </w:rPr>
        <w:t>Wnioski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Zgodnie z oceną respondentów, za</w:t>
      </w:r>
      <w:r>
        <w:rPr>
          <w:i/>
          <w:color w:val="000000"/>
          <w:u w:color="000000"/>
        </w:rPr>
        <w:t xml:space="preserve">równo z obszaru rewitalizacji jak i w skali miasta, wysokie natężenie problemów występuje w zakresie sytuacji na lokalnym rynku pracy, skali patologii społecznych, poziomu integracji mieszkańców, poziomu współpracy władz miasta </w:t>
      </w:r>
      <w:r>
        <w:rPr>
          <w:i/>
          <w:color w:val="000000"/>
          <w:u w:color="000000"/>
        </w:rPr>
        <w:br/>
        <w:t>z mieszkańcami, oferty spęd</w:t>
      </w:r>
      <w:r>
        <w:rPr>
          <w:i/>
          <w:color w:val="000000"/>
          <w:u w:color="000000"/>
        </w:rPr>
        <w:t xml:space="preserve">zania wolnego czasu oraz starzenia się społeczeństwa. Istotne natężenie problemów występuje w zakresie: samowystarczalności ekonomicznej mieszkańców, ich warunków mieszkaniowych oraz </w:t>
      </w:r>
      <w:r>
        <w:rPr>
          <w:i/>
          <w:color w:val="000000"/>
          <w:u w:color="000000"/>
        </w:rPr>
        <w:lastRenderedPageBreak/>
        <w:t>poczucia bezpieczeństwa publicznego. Niskie natężenie problemów lub ich b</w:t>
      </w:r>
      <w:r>
        <w:rPr>
          <w:i/>
          <w:color w:val="000000"/>
          <w:u w:color="000000"/>
        </w:rPr>
        <w:t>rak respondenci dostrzegli w obszarze edukacji i opieki nad dziećmi w wieku przedszkolnym.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val="single" w:color="000000"/>
        </w:rPr>
        <w:t>TOP 7 PROBLEMÓW SFERY SPOŁECZNEJ wskazanych przez respondentów zarówno na obszarze rewitalizacji jak i w skali całego miasta to</w:t>
      </w:r>
      <w:r>
        <w:rPr>
          <w:b/>
          <w:color w:val="000000"/>
          <w:u w:color="000000"/>
        </w:rPr>
        <w:t>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i/>
          <w:color w:val="000000"/>
          <w:u w:color="000000"/>
        </w:rPr>
        <w:t>Problemy związane ze starzeniem s</w:t>
      </w:r>
      <w:r>
        <w:rPr>
          <w:i/>
          <w:color w:val="000000"/>
          <w:u w:color="000000"/>
        </w:rPr>
        <w:t>ię społeczeństwa (duży odsetek osób starszych, migracja ludzi młodych),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i/>
          <w:color w:val="000000"/>
          <w:u w:color="000000"/>
        </w:rPr>
        <w:t xml:space="preserve">Zła sytuacja na lokalnym rynku pracy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(bezrobocie, niskie wynagrodzenia, mało atrakcyjne miejsca pracy, itp.),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i/>
          <w:color w:val="000000"/>
          <w:u w:color="000000"/>
        </w:rPr>
        <w:t xml:space="preserve">Słaba oferta spędzenia wolnego czasu (kulturalna, sportowa, </w:t>
      </w:r>
      <w:r>
        <w:rPr>
          <w:i/>
          <w:color w:val="000000"/>
          <w:u w:color="000000"/>
        </w:rPr>
        <w:t>rekreacyjna),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i/>
          <w:color w:val="000000"/>
          <w:u w:color="000000"/>
        </w:rPr>
        <w:t>Słaba współpraca instytucji publicznych z mieszkańcami,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i/>
          <w:color w:val="000000"/>
          <w:u w:color="000000"/>
        </w:rPr>
        <w:t>Słaba integracja mieszkańców (brak więzi międzyludzkich),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i/>
          <w:color w:val="000000"/>
          <w:u w:color="000000"/>
        </w:rPr>
        <w:t>Patologie społeczne (alkoholizm, narkomania, przemoc w rodzinie, itp.),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i/>
          <w:color w:val="000000"/>
          <w:u w:color="000000"/>
        </w:rPr>
        <w:t>Ubóstwo (duży odsetek ludzi ubogich)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i/>
          <w:color w:val="000000"/>
          <w:u w:color="000000"/>
        </w:rPr>
        <w:t xml:space="preserve">Jakie </w:t>
      </w:r>
      <w:r>
        <w:rPr>
          <w:b/>
          <w:i/>
          <w:color w:val="000000"/>
          <w:u w:color="000000"/>
        </w:rPr>
        <w:t xml:space="preserve">problemy gospodarcze, techniczne, funkcjonalno-przestrzenne i środowiskowe </w:t>
      </w:r>
      <w:r>
        <w:rPr>
          <w:i/>
          <w:color w:val="000000"/>
          <w:u w:color="000000"/>
        </w:rPr>
        <w:t>występują Pani/a zdaniem w Piotrkowie Trybunalskim? Proszę określić stopień zagrożenia problemem. (Dla porównania w nawiasach podane dane dotyczące zbioru odpowiedzi wszystkic</w:t>
      </w:r>
      <w:r>
        <w:rPr>
          <w:i/>
          <w:color w:val="000000"/>
          <w:u w:color="000000"/>
        </w:rPr>
        <w:t>h uczestniczących w ankiecie interesariuszy).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17"/>
        <w:gridCol w:w="1335"/>
        <w:gridCol w:w="1266"/>
        <w:gridCol w:w="1352"/>
        <w:gridCol w:w="1352"/>
      </w:tblGrid>
      <w:tr w:rsidR="00A916A4">
        <w:trPr>
          <w:trHeight w:val="444"/>
        </w:trPr>
        <w:tc>
          <w:tcPr>
            <w:tcW w:w="4485" w:type="dxa"/>
            <w:vMerge w:val="restart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Rodzaj Problemu</w:t>
            </w:r>
          </w:p>
        </w:tc>
        <w:tc>
          <w:tcPr>
            <w:tcW w:w="465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Stopień zagrożenia problemem</w:t>
            </w:r>
          </w:p>
        </w:tc>
      </w:tr>
      <w:tr w:rsidR="00A916A4">
        <w:trPr>
          <w:trHeight w:val="488"/>
        </w:trPr>
        <w:tc>
          <w:tcPr>
            <w:tcW w:w="4485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7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Brak problemu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Niski</w:t>
            </w:r>
          </w:p>
        </w:tc>
        <w:tc>
          <w:tcPr>
            <w:tcW w:w="118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Średni</w:t>
            </w:r>
          </w:p>
        </w:tc>
        <w:tc>
          <w:tcPr>
            <w:tcW w:w="118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Wysoki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Problemy z prowadzeniem działalności gospodarczej</w:t>
            </w:r>
          </w:p>
          <w:p w:rsidR="00A916A4" w:rsidRDefault="00EC7227">
            <w:pPr>
              <w:jc w:val="left"/>
            </w:pPr>
            <w:r>
              <w:rPr>
                <w:i/>
                <w:sz w:val="24"/>
              </w:rPr>
              <w:t>(niedostępność lokali, małe wsparcie władz)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11,5% </w:t>
            </w:r>
            <w:r>
              <w:rPr>
                <w:i/>
                <w:sz w:val="24"/>
              </w:rPr>
              <w:t>(9,3%)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19,2% </w:t>
            </w:r>
            <w:r>
              <w:rPr>
                <w:i/>
                <w:sz w:val="24"/>
              </w:rPr>
              <w:t>(20,9%)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(34,9%)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45,2% </w:t>
            </w:r>
            <w:r>
              <w:rPr>
                <w:i/>
                <w:sz w:val="24"/>
              </w:rPr>
              <w:t>(34,9%)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Niedostatek infrastruktury technicznej </w:t>
            </w:r>
          </w:p>
          <w:p w:rsidR="00A916A4" w:rsidRDefault="00EC7227">
            <w:pPr>
              <w:jc w:val="left"/>
            </w:pPr>
            <w:r>
              <w:rPr>
                <w:i/>
                <w:sz w:val="24"/>
              </w:rPr>
              <w:t>(np. co, wod-kan, gaz)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15,4% </w:t>
            </w:r>
            <w:r>
              <w:rPr>
                <w:i/>
                <w:sz w:val="24"/>
              </w:rPr>
              <w:t>(16,3%)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45,1% </w:t>
            </w:r>
            <w:r>
              <w:rPr>
                <w:i/>
                <w:sz w:val="24"/>
              </w:rPr>
              <w:t>(41,9%)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23,2% </w:t>
            </w:r>
            <w:r>
              <w:rPr>
                <w:i/>
                <w:sz w:val="24"/>
              </w:rPr>
              <w:t>(25,6%)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15,4% </w:t>
            </w:r>
            <w:r>
              <w:rPr>
                <w:i/>
                <w:sz w:val="24"/>
              </w:rPr>
              <w:t>(16,3%)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Brak dostępu do współczesnych technologii informacyjnych </w:t>
            </w:r>
          </w:p>
          <w:p w:rsidR="00A916A4" w:rsidRDefault="00EC7227">
            <w:pPr>
              <w:jc w:val="left"/>
            </w:pPr>
            <w:r>
              <w:rPr>
                <w:sz w:val="24"/>
              </w:rPr>
              <w:t>(np. telefonia komórkowa, internet)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53,8% (</w:t>
            </w:r>
            <w:r>
              <w:rPr>
                <w:i/>
                <w:sz w:val="24"/>
              </w:rPr>
              <w:t>46,5%)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(34,9%)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7,7% (7,0%)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11,6% </w:t>
            </w:r>
            <w:r>
              <w:rPr>
                <w:i/>
                <w:sz w:val="24"/>
              </w:rPr>
              <w:t>(11,6%)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Zły stan obiektów użyteczności publicznej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15,4% (</w:t>
            </w:r>
            <w:r>
              <w:rPr>
                <w:i/>
                <w:sz w:val="24"/>
              </w:rPr>
              <w:t>11,6%)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(30,2%)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34,6% </w:t>
            </w:r>
            <w:r>
              <w:rPr>
                <w:i/>
                <w:sz w:val="24"/>
              </w:rPr>
              <w:t>(32,6%)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b/>
                <w:i/>
                <w:sz w:val="24"/>
              </w:rPr>
              <w:t>(25,6%)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Zdewastowane i opuszczone tereny/obiekty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11,5% </w:t>
            </w:r>
            <w:r>
              <w:rPr>
                <w:i/>
                <w:sz w:val="24"/>
              </w:rPr>
              <w:t>(9,3%)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(4,7%)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19,3% </w:t>
            </w:r>
            <w:r>
              <w:rPr>
                <w:i/>
                <w:sz w:val="24"/>
              </w:rPr>
              <w:t>(20,9%)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61,5% </w:t>
            </w:r>
            <w:r>
              <w:rPr>
                <w:i/>
                <w:sz w:val="24"/>
              </w:rPr>
              <w:t>(65,1%)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Niedostatek terenów rekreacyjnych </w:t>
            </w:r>
          </w:p>
          <w:p w:rsidR="00A916A4" w:rsidRDefault="00EC7227">
            <w:pPr>
              <w:jc w:val="left"/>
            </w:pPr>
            <w:r>
              <w:rPr>
                <w:i/>
                <w:sz w:val="24"/>
              </w:rPr>
              <w:t>(np. boisk, placów zabaw)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3,8% </w:t>
            </w:r>
            <w:r>
              <w:rPr>
                <w:i/>
                <w:sz w:val="24"/>
              </w:rPr>
              <w:t>(11,6%)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(9,3%)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42,3% </w:t>
            </w:r>
            <w:r>
              <w:rPr>
                <w:i/>
                <w:sz w:val="24"/>
              </w:rPr>
              <w:t>(41,9%)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46,2% </w:t>
            </w:r>
            <w:r>
              <w:rPr>
                <w:i/>
                <w:sz w:val="24"/>
              </w:rPr>
              <w:t>(37,2%)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Zły stan dróg, chodników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3,8% </w:t>
            </w:r>
            <w:r>
              <w:rPr>
                <w:i/>
                <w:sz w:val="24"/>
              </w:rPr>
              <w:t>(2,3%)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3,8% </w:t>
            </w:r>
            <w:r>
              <w:rPr>
                <w:i/>
                <w:sz w:val="24"/>
              </w:rPr>
              <w:t>(7,0%)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34,6% </w:t>
            </w:r>
            <w:r>
              <w:rPr>
                <w:i/>
                <w:sz w:val="24"/>
              </w:rPr>
              <w:t>(39,5%)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57,8% </w:t>
            </w:r>
            <w:r>
              <w:rPr>
                <w:i/>
                <w:sz w:val="24"/>
              </w:rPr>
              <w:t>(51,2%)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Małe zasoby mieszkaniowe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(23,3%)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(13,9%)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42,3% </w:t>
            </w:r>
            <w:r>
              <w:rPr>
                <w:b/>
                <w:i/>
                <w:sz w:val="24"/>
              </w:rPr>
              <w:t>(39,5%)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(23,3%)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Zły stan techniczny budynków mieszkalnych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11,5% </w:t>
            </w:r>
            <w:r>
              <w:rPr>
                <w:i/>
                <w:sz w:val="24"/>
              </w:rPr>
              <w:t>(9,4%)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(30,2%)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38,5% </w:t>
            </w:r>
            <w:r>
              <w:rPr>
                <w:i/>
                <w:sz w:val="24"/>
              </w:rPr>
              <w:t>(30,2%)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(30,2%)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Niedostatek ścieżek rowerowych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15,4% </w:t>
            </w:r>
            <w:r>
              <w:rPr>
                <w:i/>
                <w:sz w:val="24"/>
              </w:rPr>
              <w:t>(14,0%)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(16,3%)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34,6% </w:t>
            </w:r>
            <w:r>
              <w:rPr>
                <w:i/>
                <w:sz w:val="24"/>
              </w:rPr>
              <w:t>(30,2%)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42,3% </w:t>
            </w:r>
            <w:r>
              <w:rPr>
                <w:i/>
                <w:sz w:val="24"/>
              </w:rPr>
              <w:t>(39,5%)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Niskie poczucie bezpieczeństwa drogowego </w:t>
            </w:r>
            <w:r>
              <w:rPr>
                <w:i/>
                <w:sz w:val="24"/>
              </w:rPr>
              <w:t>(niewłaściwe oznakowanie drogowe, brak bezpiecznych przejść dla pieszych, brak sygnalizacji drogowej, itp.)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15,4% </w:t>
            </w:r>
            <w:r>
              <w:rPr>
                <w:i/>
                <w:sz w:val="24"/>
              </w:rPr>
              <w:t>(16,3%)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42,3% </w:t>
            </w:r>
            <w:r>
              <w:rPr>
                <w:i/>
                <w:sz w:val="24"/>
              </w:rPr>
              <w:t>(44,2%)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30,8% </w:t>
            </w:r>
            <w:r>
              <w:rPr>
                <w:i/>
                <w:sz w:val="24"/>
              </w:rPr>
              <w:t>(25,6%)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11,5% </w:t>
            </w:r>
            <w:r>
              <w:rPr>
                <w:i/>
                <w:sz w:val="24"/>
              </w:rPr>
              <w:t>(13,9%)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Niedostateczna dostępność infrastruktury użyteczności publicznej dla osób z </w:t>
            </w:r>
            <w:r>
              <w:rPr>
                <w:sz w:val="24"/>
              </w:rPr>
              <w:t>niepełnosprawnością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15,4% </w:t>
            </w:r>
            <w:r>
              <w:rPr>
                <w:i/>
                <w:sz w:val="24"/>
              </w:rPr>
              <w:t>(16,3%)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(27,9%)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26,9% </w:t>
            </w:r>
            <w:r>
              <w:rPr>
                <w:i/>
                <w:sz w:val="24"/>
              </w:rPr>
              <w:t>(30,3%)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30,8% </w:t>
            </w:r>
            <w:r>
              <w:rPr>
                <w:i/>
                <w:sz w:val="24"/>
              </w:rPr>
              <w:t>(25,5%)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lastRenderedPageBreak/>
              <w:t>Słaba komunikacja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(16,3%)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11.5% </w:t>
            </w:r>
            <w:r>
              <w:rPr>
                <w:i/>
                <w:sz w:val="24"/>
              </w:rPr>
              <w:t>(23,3%)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30,8% </w:t>
            </w:r>
            <w:r>
              <w:rPr>
                <w:i/>
                <w:sz w:val="24"/>
              </w:rPr>
              <w:t>(23,3%)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50,0% </w:t>
            </w:r>
            <w:r>
              <w:rPr>
                <w:i/>
                <w:sz w:val="24"/>
              </w:rPr>
              <w:t>(37,1%)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Zaniedbane zabytki </w:t>
            </w:r>
            <w:r>
              <w:rPr>
                <w:i/>
                <w:sz w:val="24"/>
              </w:rPr>
              <w:t>(dziedzictwa narodowego/kultury/przyrody)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19,2% </w:t>
            </w:r>
            <w:r>
              <w:rPr>
                <w:i/>
                <w:sz w:val="24"/>
              </w:rPr>
              <w:t>(20,9%)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(30,3%)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34,6% </w:t>
            </w:r>
            <w:r>
              <w:rPr>
                <w:i/>
                <w:sz w:val="24"/>
              </w:rPr>
              <w:t>(30,3%)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23,1% </w:t>
            </w:r>
            <w:r>
              <w:rPr>
                <w:i/>
                <w:sz w:val="24"/>
              </w:rPr>
              <w:t>(18,5%)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Zanieczyszczenie środowiska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(7,0%)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11,5% </w:t>
            </w:r>
            <w:r>
              <w:rPr>
                <w:i/>
                <w:sz w:val="24"/>
              </w:rPr>
              <w:t>(23,2%)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42,3% </w:t>
            </w:r>
            <w:r>
              <w:rPr>
                <w:i/>
                <w:sz w:val="24"/>
              </w:rPr>
              <w:t>(34,9%)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38,5% </w:t>
            </w:r>
            <w:r>
              <w:rPr>
                <w:i/>
                <w:sz w:val="24"/>
              </w:rPr>
              <w:t>(34,9%)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Niska estetyka otoczenia</w:t>
            </w:r>
          </w:p>
        </w:tc>
        <w:tc>
          <w:tcPr>
            <w:tcW w:w="11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7,7% </w:t>
            </w:r>
            <w:r>
              <w:rPr>
                <w:i/>
                <w:sz w:val="24"/>
              </w:rPr>
              <w:t>(7,1%)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11,5% </w:t>
            </w:r>
            <w:r>
              <w:rPr>
                <w:i/>
                <w:sz w:val="24"/>
              </w:rPr>
              <w:t>(20,9%)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42,3% </w:t>
            </w:r>
            <w:r>
              <w:rPr>
                <w:i/>
                <w:sz w:val="24"/>
              </w:rPr>
              <w:t>(34,9%)</w:t>
            </w:r>
          </w:p>
        </w:tc>
        <w:tc>
          <w:tcPr>
            <w:tcW w:w="11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38,5% </w:t>
            </w:r>
            <w:r>
              <w:rPr>
                <w:i/>
                <w:sz w:val="24"/>
              </w:rPr>
              <w:t>(37,1%)</w:t>
            </w:r>
          </w:p>
        </w:tc>
      </w:tr>
      <w:tr w:rsidR="00A916A4">
        <w:trPr>
          <w:trHeight w:val="465"/>
        </w:trPr>
        <w:tc>
          <w:tcPr>
            <w:tcW w:w="448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sz w:val="24"/>
              </w:rPr>
              <w:t>Inne (jakie):</w:t>
            </w:r>
          </w:p>
          <w:p w:rsidR="00A916A4" w:rsidRDefault="00EC7227">
            <w:pPr>
              <w:jc w:val="left"/>
            </w:pPr>
            <w:r>
              <w:rPr>
                <w:sz w:val="24"/>
              </w:rPr>
              <w:t xml:space="preserve">- pominięto uwagi powtarzające się tematycznie z problemami </w:t>
            </w:r>
            <w:r>
              <w:rPr>
                <w:sz w:val="24"/>
              </w:rPr>
              <w:t>wymienionymi w tabeli, uwagi nie dotyczące tematu ankiety lub niespójne</w:t>
            </w:r>
          </w:p>
        </w:tc>
        <w:tc>
          <w:tcPr>
            <w:tcW w:w="4650" w:type="dxa"/>
            <w:gridSpan w:val="4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1.</w:t>
            </w:r>
            <w:r>
              <w:rPr>
                <w:b/>
                <w:sz w:val="24"/>
              </w:rPr>
              <w:t>Brak spójności infrastruktury przestrzeni publicznych, niewystarczająca ilość zieleni,</w:t>
            </w:r>
          </w:p>
          <w:p w:rsidR="00A916A4" w:rsidRDefault="00EC7227">
            <w:pPr>
              <w:jc w:val="left"/>
            </w:pPr>
            <w:r>
              <w:t>2.</w:t>
            </w:r>
            <w:r>
              <w:rPr>
                <w:b/>
                <w:sz w:val="24"/>
              </w:rPr>
              <w:t>Brak atrakcyjnych i dobrze płatnych miejsc pracy</w:t>
            </w:r>
          </w:p>
          <w:p w:rsidR="00A916A4" w:rsidRDefault="00EC7227">
            <w:pPr>
              <w:jc w:val="left"/>
            </w:pPr>
            <w:r>
              <w:t>3.</w:t>
            </w:r>
            <w:r>
              <w:rPr>
                <w:b/>
                <w:sz w:val="24"/>
              </w:rPr>
              <w:t>Brak dostatecznej ilości miejsc parkingowy</w:t>
            </w:r>
            <w:r>
              <w:rPr>
                <w:b/>
                <w:sz w:val="24"/>
              </w:rPr>
              <w:t xml:space="preserve">ch, </w:t>
            </w:r>
          </w:p>
          <w:p w:rsidR="00A916A4" w:rsidRDefault="00EC7227">
            <w:pPr>
              <w:jc w:val="left"/>
            </w:pPr>
            <w:r>
              <w:t>4.</w:t>
            </w:r>
            <w:r>
              <w:rPr>
                <w:b/>
                <w:sz w:val="24"/>
              </w:rPr>
              <w:t>Brak infrastruktury (np. miejsca postojowe) i bezpiecznych tras dla alternatywnych środków transportu (rower, hulajnoga) w obszarze śródmiejskim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val="single" w:color="000000"/>
        </w:rPr>
        <w:t>TOP 7 PROBLEMÓW POZOSTAŁYCH SFER wskazanych przez respondentów z obszaru rewitalizacji</w:t>
      </w:r>
      <w:r>
        <w:rPr>
          <w:b/>
          <w:color w:val="000000"/>
          <w:u w:color="000000"/>
        </w:rPr>
        <w:t>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i/>
          <w:color w:val="000000"/>
          <w:u w:color="000000"/>
        </w:rPr>
        <w:t xml:space="preserve">Zły stan </w:t>
      </w:r>
      <w:r>
        <w:rPr>
          <w:i/>
          <w:color w:val="000000"/>
          <w:u w:color="000000"/>
        </w:rPr>
        <w:t>dróg, chodników,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i/>
          <w:color w:val="000000"/>
          <w:u w:color="000000"/>
        </w:rPr>
        <w:t>Niedostatek terenów rekreacyjnych (np. boisk, placów zabaw),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i/>
          <w:color w:val="000000"/>
          <w:u w:color="000000"/>
        </w:rPr>
        <w:t>Zdewastowane i opuszczone tereny/obiekty,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i/>
          <w:color w:val="000000"/>
          <w:u w:color="000000"/>
        </w:rPr>
        <w:t>Niska estetyka otoczenia,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i/>
          <w:color w:val="000000"/>
          <w:u w:color="000000"/>
        </w:rPr>
        <w:t>Zanieczyszczenie środowiska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i/>
          <w:color w:val="000000"/>
          <w:u w:color="000000"/>
        </w:rPr>
        <w:t>Słaba komunikacja publiczna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i/>
          <w:color w:val="000000"/>
          <w:u w:color="000000"/>
        </w:rPr>
        <w:t>Niedostatek ścieżek rowerowych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Respo</w:t>
      </w:r>
      <w:r>
        <w:rPr>
          <w:color w:val="000000"/>
          <w:u w:color="000000"/>
        </w:rPr>
        <w:t>ndenci wskazali także na istotne niedogodności w sferze technicznej i przestrzenno-funkcjonalnej, w kolejności: Małe zasoby mieszkaniowe, zły stan budynków mieszkalnych, ograniczenia lokalowe i małe wsparcie władz w prowadzeniu działalności gospodarczej or</w:t>
      </w:r>
      <w:r>
        <w:rPr>
          <w:color w:val="000000"/>
          <w:u w:color="000000"/>
        </w:rPr>
        <w:t>az niedostateczną dostępność infrastruktury publicznej dla osób z niepełnosprawnością</w:t>
      </w:r>
      <w:r>
        <w:rPr>
          <w:b/>
          <w:i/>
          <w:color w:val="000000"/>
          <w:u w:color="000000"/>
        </w:rPr>
        <w:t>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i/>
          <w:color w:val="000000"/>
          <w:u w:color="000000"/>
        </w:rPr>
        <w:t>Które ze wskazanych wyżej problemów (wskazanych w pkt. 4 i 5) powinny być traktowane priorytetowo?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Poniżej najczęściej pojawiające się uwagi.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a) </w:t>
      </w:r>
      <w:r>
        <w:rPr>
          <w:i/>
          <w:color w:val="000000"/>
          <w:u w:color="000000"/>
        </w:rPr>
        <w:t>Zdewastowane i opuszc</w:t>
      </w:r>
      <w:r>
        <w:rPr>
          <w:i/>
          <w:color w:val="000000"/>
          <w:u w:color="000000"/>
        </w:rPr>
        <w:t>zone obiekty,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b) </w:t>
      </w:r>
      <w:r>
        <w:rPr>
          <w:i/>
          <w:color w:val="000000"/>
          <w:u w:color="000000"/>
        </w:rPr>
        <w:t>Niedostateczna oferta spędzenia wolnego czasu,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c) </w:t>
      </w:r>
      <w:r>
        <w:rPr>
          <w:i/>
          <w:color w:val="000000"/>
          <w:u w:color="000000"/>
        </w:rPr>
        <w:t>Brak estetycznej oprawy miasta,( betonowa na każdym kroku),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d) </w:t>
      </w:r>
      <w:r>
        <w:rPr>
          <w:i/>
          <w:color w:val="000000"/>
          <w:u w:color="000000"/>
        </w:rPr>
        <w:t>Infrastruktura, ochrona środowiska, komunikacja,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e) </w:t>
      </w:r>
      <w:r>
        <w:rPr>
          <w:i/>
          <w:color w:val="000000"/>
          <w:u w:color="000000"/>
        </w:rPr>
        <w:t>Niedostatek ścieżek rowerowych,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f) </w:t>
      </w:r>
      <w:r>
        <w:rPr>
          <w:i/>
          <w:color w:val="000000"/>
          <w:u w:color="000000"/>
        </w:rPr>
        <w:t xml:space="preserve">Niedostatek zagospodarowanych terenów </w:t>
      </w:r>
      <w:r>
        <w:rPr>
          <w:i/>
          <w:color w:val="000000"/>
          <w:u w:color="000000"/>
        </w:rPr>
        <w:t>zielonych i rekreacyjnych,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i/>
          <w:color w:val="000000"/>
          <w:u w:color="000000"/>
        </w:rPr>
        <w:t>Czy poza wymienionymi wyżej problemami zauważa Pan/i jakieś inne negatywne zjawisko w Mieście, które powinno zostać rozwiązane w ramach rewitalizacji? Co to za problem i czego dotyczy?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Wskazano na: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a) </w:t>
      </w:r>
      <w:r>
        <w:rPr>
          <w:i/>
          <w:color w:val="000000"/>
          <w:u w:color="000000"/>
        </w:rPr>
        <w:t>Potrzeba poszerzania komu</w:t>
      </w:r>
      <w:r>
        <w:rPr>
          <w:i/>
          <w:color w:val="000000"/>
          <w:u w:color="000000"/>
        </w:rPr>
        <w:t>nikacji z mieszkańcami, tworzenia nowych kanałów konsultacji z nimi, większa otwartość na potrzeby mieszkańców, rozszerzenie budżetu obywatelskiego,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b) </w:t>
      </w:r>
      <w:r>
        <w:rPr>
          <w:i/>
          <w:color w:val="000000"/>
          <w:u w:color="000000"/>
        </w:rPr>
        <w:t>Nagminne wycinanie powierzchni lasów wokół Piotrkowa oraz w samym mieście,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lastRenderedPageBreak/>
        <w:t>c) </w:t>
      </w:r>
      <w:r>
        <w:rPr>
          <w:i/>
          <w:color w:val="000000"/>
          <w:u w:color="000000"/>
        </w:rPr>
        <w:t xml:space="preserve">Ożywienie centrum miasta. </w:t>
      </w:r>
      <w:r>
        <w:rPr>
          <w:i/>
          <w:color w:val="000000"/>
          <w:u w:color="000000"/>
        </w:rPr>
        <w:t>Centrum miasta wydaje się być opustoszałe, dość uboga baza gastronomiczna i hotelowa w śródmieściu,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d) </w:t>
      </w:r>
      <w:r>
        <w:rPr>
          <w:i/>
          <w:color w:val="000000"/>
          <w:u w:color="000000"/>
        </w:rPr>
        <w:t>Wykorzystanie terenów w mieście pod budownictwo mieszkaniowe,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e) </w:t>
      </w:r>
      <w:r>
        <w:rPr>
          <w:i/>
          <w:color w:val="000000"/>
          <w:u w:color="000000"/>
        </w:rPr>
        <w:t>Słaba aktywność organizacji pozarządowych i brak ich wsparcia finansowego, lokalowego ze</w:t>
      </w:r>
      <w:r>
        <w:rPr>
          <w:i/>
          <w:color w:val="000000"/>
          <w:u w:color="000000"/>
        </w:rPr>
        <w:t xml:space="preserve"> strony urzędu miasta,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f) </w:t>
      </w:r>
      <w:r>
        <w:rPr>
          <w:i/>
          <w:color w:val="000000"/>
          <w:u w:color="000000"/>
        </w:rPr>
        <w:t>Brak oferty komunalnego budownictwa mieszkaniowego,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g) </w:t>
      </w:r>
      <w:r>
        <w:rPr>
          <w:i/>
          <w:color w:val="000000"/>
          <w:u w:color="000000"/>
        </w:rPr>
        <w:t xml:space="preserve">Brak instrumentów/działań pobudzających zagospodarowanie pustostanów </w:t>
      </w:r>
      <w:r>
        <w:rPr>
          <w:i/>
          <w:color w:val="000000"/>
          <w:u w:color="000000"/>
        </w:rPr>
        <w:br/>
        <w:t>i likwidację zagrożeń budowlanych na posesjach prywatnych,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i/>
          <w:color w:val="000000"/>
          <w:u w:color="000000"/>
        </w:rPr>
        <w:t>Proszę zaznaczyć na z poniższej liście, jak</w:t>
      </w:r>
      <w:r>
        <w:rPr>
          <w:i/>
          <w:color w:val="000000"/>
          <w:u w:color="000000"/>
        </w:rPr>
        <w:t xml:space="preserve">ie </w:t>
      </w:r>
      <w:r>
        <w:rPr>
          <w:b/>
          <w:i/>
          <w:color w:val="000000"/>
          <w:u w:color="000000"/>
        </w:rPr>
        <w:t>z wymienionych tam działań/przedsięwzięć</w:t>
      </w:r>
      <w:r>
        <w:rPr>
          <w:i/>
          <w:color w:val="000000"/>
          <w:u w:color="000000"/>
        </w:rPr>
        <w:t xml:space="preserve"> powinny zostać podjęte w ramach Gminnego Programu Rewitalizacji dla zaradzenia wskazanym w pkt. 6 priorytetowym problemom?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TOP 7 wskazanych przez respondentów działań rewitalizacyjnych to: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Rozwój mikro i małyc</w:t>
      </w:r>
      <w:r>
        <w:rPr>
          <w:color w:val="000000"/>
          <w:u w:color="000000"/>
        </w:rPr>
        <w:t xml:space="preserve">h przedsiębiorstw oraz pozyskanie inwestorów zewnętrznych </w:t>
      </w:r>
      <w:r>
        <w:rPr>
          <w:i/>
          <w:color w:val="000000"/>
          <w:u w:color="000000"/>
        </w:rPr>
        <w:t>(np. przygotowanie terenów inwestycyjnych dla rozwoju przedsiębiorczości),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Poprawa estetyki i ładu przestrzennego </w:t>
      </w:r>
      <w:r>
        <w:rPr>
          <w:i/>
          <w:color w:val="000000"/>
          <w:u w:color="000000"/>
        </w:rPr>
        <w:t>(w tym: zagospodarowanie pustych przestrzeni, budowa skwerów, placów zabaw, miejs</w:t>
      </w:r>
      <w:r>
        <w:rPr>
          <w:i/>
          <w:color w:val="000000"/>
          <w:u w:color="000000"/>
        </w:rPr>
        <w:t>c spacerowych),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Modernizacja/budowa infrastruktury drogowej (w tym: chodniki, ścieżki rowerowe, oświetlenie),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Poprawa systemu komunikacji,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 xml:space="preserve">Modernizacja/budowa infrastruktury ochrony środowiska </w:t>
      </w:r>
      <w:r>
        <w:rPr>
          <w:i/>
          <w:color w:val="000000"/>
          <w:u w:color="000000"/>
        </w:rPr>
        <w:t>(np. instalacja odnawialnych źródeł energii, termomode</w:t>
      </w:r>
      <w:r>
        <w:rPr>
          <w:i/>
          <w:color w:val="000000"/>
          <w:u w:color="000000"/>
        </w:rPr>
        <w:t>rnizacja budynków),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Rozwój turystyki, w tym renowacja zabytków i wykorzystanie ich potencjału dla rozwoju turystyki,</w:t>
      </w:r>
    </w:p>
    <w:p w:rsidR="00A77B3E" w:rsidRDefault="00EC7227">
      <w:pPr>
        <w:keepLines/>
        <w:spacing w:before="120" w:after="120"/>
        <w:ind w:left="22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 xml:space="preserve">Wsparcie aktywności gospodarczej i zawodowej </w:t>
      </w:r>
      <w:r>
        <w:rPr>
          <w:i/>
          <w:color w:val="000000"/>
          <w:u w:color="000000"/>
        </w:rPr>
        <w:t>(w tym: wsparcie różnych form samozatrudnienia, zwiększenie działalności szkoleniowo-dor</w:t>
      </w:r>
      <w:r>
        <w:rPr>
          <w:i/>
          <w:color w:val="000000"/>
          <w:u w:color="000000"/>
        </w:rPr>
        <w:t xml:space="preserve">adczej) oraz działania dla </w:t>
      </w:r>
      <w:r>
        <w:rPr>
          <w:color w:val="000000"/>
          <w:u w:color="000000"/>
        </w:rPr>
        <w:t xml:space="preserve">poprawy bezpieczeństwa drogowego </w:t>
      </w:r>
      <w:r>
        <w:rPr>
          <w:i/>
          <w:color w:val="000000"/>
          <w:u w:color="000000"/>
        </w:rPr>
        <w:t>(np. system sygnalizacji drogowej, rozwój systemu ścieżek rowerowych itp.).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Kolejną metodą badawczą wykorzystaną w analizie szczegółowej obszaru rewitalizacji były </w:t>
      </w:r>
      <w:r>
        <w:rPr>
          <w:b/>
          <w:color w:val="000000"/>
          <w:u w:color="000000"/>
        </w:rPr>
        <w:t xml:space="preserve">spacery badawcze. 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dniu </w:t>
      </w:r>
      <w:r>
        <w:rPr>
          <w:color w:val="000000"/>
          <w:u w:color="000000"/>
        </w:rPr>
        <w:t>25.05.2023 r przeprowadzono 3 spacery badawcze, po jednym w każdym podobszarze rewitalizacji.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Spacer badawczy to interaktywna, terenowa metoda pytania mieszkańców o ich opinie w jakiejś kwestii. Jest też jedną z technik partycypacji wymienionych wprost w u</w:t>
      </w:r>
      <w:r>
        <w:rPr>
          <w:color w:val="000000"/>
          <w:u w:color="000000"/>
        </w:rPr>
        <w:t>stawie o rewitalizacji.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W ramach konsultacji Gminnego Programu Rewitalizacji dla Miasta Piotrków Trybunalski na lata 2024-2030 zaplanowane zostały spacery badawcze w każdym z obszarów rewitalizacji.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Moderatorem spacerów była Pomorska Grupa Konsultingowa SA</w:t>
      </w:r>
      <w:r>
        <w:rPr>
          <w:color w:val="000000"/>
          <w:u w:color="000000"/>
        </w:rPr>
        <w:t xml:space="preserve"> w Bydgoszczy korzystając przy ich przeprowadzeniu z pomocy kierownictwa i pracowników Urzędu Miasta w Piotrkowie Trybunalskim. Spacery odbyły się według następującego harmonogramu: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b/>
          <w:color w:val="000000"/>
          <w:u w:color="000000"/>
        </w:rPr>
        <w:t>25.05.2023 godz. 9:30 – 11:20. PODOBSZAR JS 1 – ŚRÓDMIEŚCIE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Obszar ogra</w:t>
      </w:r>
      <w:r>
        <w:rPr>
          <w:color w:val="000000"/>
          <w:u w:color="000000"/>
        </w:rPr>
        <w:t>niczony ulicami: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Wojska Polskiego--&gt;Marii Curie Skłodowskiej--&gt;Rondo Sulejowskie--&gt;Al. M. Kopernika--&gt;Al.. Marsz. J. Piłsudskiego--&gt;Al.. Armii Krajowej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Start: </w:t>
      </w:r>
      <w:r>
        <w:rPr>
          <w:color w:val="000000"/>
          <w:u w:color="000000"/>
        </w:rPr>
        <w:t>godz. 9:00 z Rynku Trybunalskiego.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Prowadzący: </w:t>
      </w:r>
      <w:r>
        <w:rPr>
          <w:color w:val="000000"/>
          <w:u w:color="000000"/>
        </w:rPr>
        <w:t>Piotr Olejnik – Kierownik Zespołu Planów Miejscowy</w:t>
      </w:r>
      <w:r>
        <w:rPr>
          <w:color w:val="000000"/>
          <w:u w:color="000000"/>
        </w:rPr>
        <w:t>ch i Analiz w Pracowni Planowania Przestrzennego, UM w Piotrkowie Trybunalskim.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Materiały pomocnicze: </w:t>
      </w:r>
      <w:r>
        <w:rPr>
          <w:color w:val="000000"/>
          <w:u w:color="000000"/>
        </w:rPr>
        <w:t>mapa obszaru.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Liczba uczestników: </w:t>
      </w:r>
      <w:r>
        <w:rPr>
          <w:color w:val="000000"/>
          <w:u w:color="000000"/>
        </w:rPr>
        <w:t>8, w tym 2-ch pracowników UM w Piotrkowie Trybunalskim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Obserwatorzy nieuczestniczący: </w:t>
      </w:r>
      <w:r>
        <w:rPr>
          <w:color w:val="000000"/>
          <w:u w:color="000000"/>
        </w:rPr>
        <w:t xml:space="preserve">2-ch ekspertów z Pomorskiej Grupy </w:t>
      </w:r>
      <w:r>
        <w:rPr>
          <w:color w:val="000000"/>
          <w:u w:color="000000"/>
        </w:rPr>
        <w:t>Konsultingowej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lastRenderedPageBreak/>
        <w:t>Przebieg spaceru: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Spotkanie rozpoczął Romuald Wawrzyniak, obserwator z PGK SA, wyjaśniając, czym jest rewitalizacja, jak wygląda prowadzenie tego procesu zgodnie z ustawą. Omówił również zasady delimitacji obszarów, powiedział, jakie obszary</w:t>
      </w:r>
      <w:r>
        <w:rPr>
          <w:color w:val="000000"/>
          <w:u w:color="000000"/>
        </w:rPr>
        <w:t xml:space="preserve"> zostały w Piotrkowie Trybunalskim wyznaczone do rewitalizacji, krótko opisał granice obszaru JS1 – Śródmieście oraz wynik diagnozy społeczno – gospodarczej, która dotyczyła tego podobszaru.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Uwagi i potrzeby zgłoszone podczas spaceru badawczego: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b/>
          <w:color w:val="000000"/>
          <w:u w:color="000000"/>
        </w:rPr>
        <w:t>Rynek T</w:t>
      </w:r>
      <w:r>
        <w:rPr>
          <w:b/>
          <w:color w:val="000000"/>
          <w:u w:color="000000"/>
        </w:rPr>
        <w:t>rybunalski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Spacer badawczy [Rynek Trybunalski]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6495448" cy="2987906"/>
            <wp:effectExtent l="0" t="0" r="0" b="0"/>
            <wp:docPr id="100039" name="Obraz 10003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45" r:link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95448" cy="298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Rynek staromiejski winien być sercem każdego miasta, centrum życia publicznego</w:t>
      </w:r>
      <w:r>
        <w:rPr>
          <w:color w:val="000000"/>
          <w:u w:color="000000"/>
        </w:rPr>
        <w:br/>
        <w:t>i kulturalnego, czego, w opinii niektórych uczestników spaceru, nie spełnia Rynek Trybunalski. Wizerunek rynku zak</w:t>
      </w:r>
      <w:r>
        <w:rPr>
          <w:color w:val="000000"/>
          <w:u w:color="000000"/>
        </w:rPr>
        <w:t>łóca niski poziom estetyczny witryn, szyldów oraz nośników reklam, który w tym zakresie odbiega nieco od wymaganych standardów jakości przestrzeni publicznej.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Zwrócono uwagę, że Rynek Trybunalski, wraz z dochodzącymi do niego ulicami nie spełnia w stopniu </w:t>
      </w:r>
      <w:r>
        <w:rPr>
          <w:color w:val="000000"/>
          <w:u w:color="000000"/>
        </w:rPr>
        <w:t>satysfakcjonującym mieszkańców funkcji przestrzeni społecznej. Wskazano na niedostatek w tej przestrzeni miejsc przyciągających mieszkańców i turystów. Spotykaną w wielu polskich miastach współczesną formą tej funkcji są organizowane na płytach rynków impr</w:t>
      </w:r>
      <w:r>
        <w:rPr>
          <w:color w:val="000000"/>
          <w:u w:color="000000"/>
        </w:rPr>
        <w:t xml:space="preserve">ezy kulturalne (koncerty muzyczne, występy taneczne, jarmarki, wystawy plenerowe) oraz wydarzenia sportowe (starty i mety biegów oraz rajdów rowerowych). Imprezy dostępne dla każdego, przyciągają wielu mieszkańców, również turystów a dodatkowym „magnesem” </w:t>
      </w:r>
      <w:r>
        <w:rPr>
          <w:color w:val="000000"/>
          <w:u w:color="000000"/>
        </w:rPr>
        <w:t>takich miejsc jest liczna i wysokiej jakości oferta gastronomiczna.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lastRenderedPageBreak/>
        <w:t>2. </w:t>
      </w:r>
      <w:r>
        <w:rPr>
          <w:b/>
          <w:color w:val="000000"/>
          <w:u w:color="000000"/>
        </w:rPr>
        <w:t>Skwer Srzednickiego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Spacer badawczy [skwer Srzednickiego]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6495448" cy="2987906"/>
            <wp:effectExtent l="0" t="0" r="0" b="0"/>
            <wp:docPr id="100041" name="Obraz 10004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47" r:link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95448" cy="298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Miejsce to stanowi przykład „bylejakości” miejskiej przestrzeni publicznej. Nawet obecna w tej przestrzeni </w:t>
      </w:r>
      <w:r>
        <w:rPr>
          <w:color w:val="000000"/>
          <w:u w:color="000000"/>
        </w:rPr>
        <w:t>infrastruktura gastronomiczna ograniczona jest w praktyce do obsługi „styp pogrzebowych”. Lokalizacja (bliskość licznie odwiedzanego przez mieszkańców cmentarza, funkcja gastronomiczno-handlowa przestrzeni), atrakcyjny drzewostan to w sumie niewykorzystany</w:t>
      </w:r>
      <w:r>
        <w:rPr>
          <w:color w:val="000000"/>
          <w:u w:color="000000"/>
        </w:rPr>
        <w:t xml:space="preserve"> potencjał dla stworzenia przestrzeni publicznej w myśl idei „placemakingu”</w:t>
      </w:r>
      <w:r>
        <w:rPr>
          <w:rStyle w:val="Odwoanieprzypisudolnego"/>
          <w:color w:val="000000"/>
          <w:sz w:val="20"/>
          <w:u w:color="000000"/>
        </w:rPr>
        <w:footnoteReference w:customMarkFollows="1" w:id="7"/>
        <w:t>7)</w:t>
      </w:r>
      <w:r>
        <w:rPr>
          <w:color w:val="000000"/>
          <w:u w:color="000000"/>
        </w:rPr>
        <w:t>. Miejsce do odpoczynku, wyciszenia a nie „eventu” przy synergii z funkcją handlowo-usługową (kwiaciarnie).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b/>
          <w:color w:val="000000"/>
          <w:u w:color="000000"/>
        </w:rPr>
        <w:t>Skwer Chełmońskiego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Uwagi zgłaszane były podobne do tych dotyczących</w:t>
      </w:r>
      <w:r>
        <w:rPr>
          <w:color w:val="000000"/>
          <w:u w:color="000000"/>
        </w:rPr>
        <w:t xml:space="preserve"> Skweru Srzednickiego. Przestrzeń publiczna, oprócz typowych działań remontowych (np. wymiana płyt chodnikowych), wymaga nadania tej przestrzeni konkretnej tożsamości. Nawet pojedyncze w przestrzeni ławki nie zachęcają do skorzystania. Wskazywano na wykorz</w:t>
      </w:r>
      <w:r>
        <w:rPr>
          <w:color w:val="000000"/>
          <w:u w:color="000000"/>
        </w:rPr>
        <w:t>ystanie (połączenie funkcjonalne) bliskiego sąsiedztwa terenów parkowych tzw „Krzywdy”. Jest to kolejne miejsce z potencjałem dla inicjatyw „placemakingowych”.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>Fotografia  - Spacer badawczy [skwer Chełmońskiego]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6099634" cy="2805832"/>
            <wp:effectExtent l="0" t="0" r="0" b="0"/>
            <wp:docPr id="100043" name="Obraz 10004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49" r:link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99634" cy="280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b/>
          <w:color w:val="000000"/>
          <w:u w:color="000000"/>
        </w:rPr>
        <w:t>Wieża ciśnień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Przestrzeń publiczna sta</w:t>
      </w:r>
      <w:r>
        <w:rPr>
          <w:color w:val="000000"/>
          <w:u w:color="000000"/>
        </w:rPr>
        <w:t>nowiąca obiekt w ewidencji zabytków na „Trakcie Wielu Kultur”, w sąsiedztwie Skweru Kolejowej Grupy Sabotażowej Orzeł oraz dworca kolejowego, która nie spełnia jakichkolwiek funkcji społecznych. Ogromnym potencjałem tego miejsca jest nie tylko zabytkowa za</w:t>
      </w:r>
      <w:r>
        <w:rPr>
          <w:color w:val="000000"/>
          <w:u w:color="000000"/>
        </w:rPr>
        <w:t>budowa wraz z niezagospodarowanym obszarem zieleni, ale także codzienny ruch osobowy przyjezdnych, głównie do/z pracy/szkół.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Wskazywano na potrzebę zagospodarowania dużej przestrzeni „zielonej” za wieżą. Padły propozycje m.in. gastronomicznego ogrodu letni</w:t>
      </w:r>
      <w:r>
        <w:rPr>
          <w:color w:val="000000"/>
          <w:u w:color="000000"/>
        </w:rPr>
        <w:t>ego lub skate parku dla licznej rzeszy młodzieży przemieszczającej się na tym obszarze.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Wskazywano na potrzebę zagospodarowania dużej przestrzeni „zielonej” za wieżą. Padły propozycje m.in. gastronomicznego ogrodu letniego lub skate parku dla licznej rzesz</w:t>
      </w:r>
      <w:r>
        <w:rPr>
          <w:color w:val="000000"/>
          <w:u w:color="000000"/>
        </w:rPr>
        <w:t>y młodzieży przemieszczającej się na tym obszarze.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Spacer badawczy [Wieża Ciśnień]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7157315" cy="3292365"/>
            <wp:effectExtent l="0" t="0" r="0" b="0"/>
            <wp:docPr id="100045" name="Obraz 10004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51" r:link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157315" cy="329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lastRenderedPageBreak/>
        <w:t>5. </w:t>
      </w:r>
      <w:r>
        <w:rPr>
          <w:b/>
          <w:color w:val="000000"/>
          <w:u w:color="000000"/>
        </w:rPr>
        <w:t>Budynek byłej przychodni kolejowej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Spacer badawczy [była przychodnia kolejowa]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7280540" cy="3349048"/>
            <wp:effectExtent l="0" t="0" r="0" b="0"/>
            <wp:docPr id="100047" name="Obraz 10004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37" r:link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280540" cy="334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Sam budynek jak i cała przynależna działka gruntowa stanow</w:t>
      </w:r>
      <w:r>
        <w:rPr>
          <w:color w:val="000000"/>
          <w:u w:color="000000"/>
        </w:rPr>
        <w:t>ią bardzo negatywny akcent architektoniczny śródmieścia. Nieruchomość jest własnością prywatną. Jej właściciel będący jednym z uczestników spaceru przedstawił własne plany rewitalizacji tej przestrzeni. Zrewitalizowana nieruchomość skupiałaby funkcje miesz</w:t>
      </w:r>
      <w:r>
        <w:rPr>
          <w:color w:val="000000"/>
          <w:u w:color="000000"/>
        </w:rPr>
        <w:t>kalne i usługowe, w tym medyczne,</w:t>
      </w:r>
      <w:r>
        <w:rPr>
          <w:color w:val="000000"/>
          <w:u w:color="000000"/>
        </w:rPr>
        <w:br/>
        <w:t>a także mogłaby spełniać usługi społeczne np. w ramach świetlicy środowiskowej.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Realizacja tych zamierzeń rozbija się o deficyt środków finansowych na ich realizację.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b/>
          <w:color w:val="000000"/>
          <w:u w:color="000000"/>
        </w:rPr>
        <w:t>Skwer Michała Rawity-Witanowskiego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</w:t>
      </w:r>
      <w:r>
        <w:rPr>
          <w:b/>
          <w:color w:val="000000"/>
          <w:u w:color="000000"/>
        </w:rPr>
        <w:t>cer badawczy [skwer Rawity-Witanowskiego]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6434458" cy="2959850"/>
            <wp:effectExtent l="0" t="0" r="0" b="0"/>
            <wp:docPr id="100049" name="Obraz 10004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54" r:link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34458" cy="295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Uczestnicy spaceru zgodnie wskazywali istniejące niedoskonałości tej infrastruktury zielonej. Widoczna jest przypadkowość stworzonej na tym obszarze zielonej infrastruktury, niejednoznaczność grupy docelowej, dla</w:t>
      </w:r>
      <w:r>
        <w:rPr>
          <w:color w:val="000000"/>
          <w:u w:color="000000"/>
        </w:rPr>
        <w:t xml:space="preserve"> której została stworzona. Wydaje się, że liczna w sąsiedztwie wielorodzinna zabudowa mieszkaniowa zamieszkała w dużej mierze przez rodziny z dziećmi, wskazywać może na duży potencjał tej przestrzeni jako </w:t>
      </w:r>
      <w:r>
        <w:rPr>
          <w:color w:val="000000"/>
          <w:u w:color="000000"/>
        </w:rPr>
        <w:lastRenderedPageBreak/>
        <w:t>atrakcyjnego i bezpiecznego miejsca rekreacji rodzi</w:t>
      </w:r>
      <w:r>
        <w:rPr>
          <w:color w:val="000000"/>
          <w:u w:color="000000"/>
        </w:rPr>
        <w:t>nnej, np. w rodzaju ogrodu jordanowskiego z licznymi atrakcjami dla dzieci. Na obrzeżach możliwe byłoby zamontowanie instalacji przestrzennych informujących o życiu, aktywności społecznej i spuściźnie Michała Rawity-Witanowskiego.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b/>
          <w:color w:val="000000"/>
          <w:u w:color="000000"/>
        </w:rPr>
        <w:t>Trakt pieszy w ciągu u</w:t>
      </w:r>
      <w:r>
        <w:rPr>
          <w:b/>
          <w:color w:val="000000"/>
          <w:u w:color="000000"/>
        </w:rPr>
        <w:t>licy Czarnej i Zielonej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Spacer badawczy [ciąg ulic Czarnej i Zielonej]</w:t>
      </w:r>
    </w:p>
    <w:p w:rsidR="00A77B3E" w:rsidRDefault="00EC7227">
      <w:pPr>
        <w:spacing w:before="120" w:after="120"/>
        <w:ind w:left="283" w:firstLine="227"/>
        <w:jc w:val="center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10495388" cy="6087325"/>
            <wp:effectExtent l="0" t="0" r="0" b="0"/>
            <wp:docPr id="100051" name="Obraz 10005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56" r:link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495388" cy="608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Trakt pieszy prowadzący z okolic dworca kolejowego, bardzo popularny wśród mieszkańców, gdyż skraca drogę do wielu docelowych miejsc miasta. Infrastruktura drogowa </w:t>
      </w:r>
      <w:r>
        <w:rPr>
          <w:color w:val="000000"/>
          <w:u w:color="000000"/>
        </w:rPr>
        <w:t>(chodnik) jest w bardzo złym stanie technicznym a brak oświetlenia czyni to miejsce niebezpiecznym w porze wieczornej i nocnej. Trakt ten nie posiada jakichkolwiek udogodnień dla osób ze specjalnymi potrzebami oraz wózków dziecięcych.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Mimo powyższych manka</w:t>
      </w:r>
      <w:r>
        <w:rPr>
          <w:color w:val="000000"/>
          <w:u w:color="000000"/>
        </w:rPr>
        <w:t>mentów trakt ten jest masowo użytkowany przez mieszkańców, gdyż generuje dużą oszczędność czasu w przemieszczaniu się w miejskim ruchu pieszym.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Inne zgłaszane sprawy: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Na trasie spaceru widoczna infrastruktura, głównie mieszkaniowa wskazująca na wysoki s</w:t>
      </w:r>
      <w:r>
        <w:rPr>
          <w:color w:val="000000"/>
          <w:u w:color="000000"/>
        </w:rPr>
        <w:t>topień zużycia i niski poziom uzbrojenia techniczno-medialnego.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lastRenderedPageBreak/>
        <w:t>2. </w:t>
      </w:r>
      <w:r>
        <w:rPr>
          <w:color w:val="000000"/>
          <w:u w:color="000000"/>
        </w:rPr>
        <w:t>Na trasie spaceru zauważalny niedobór infrastruktury poprawiającej dostęp dla osób ze specjalnymi potrzebami. Wszechobecne bariery architektoniczne w tym zakresie.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b/>
          <w:color w:val="000000"/>
          <w:u w:color="000000"/>
        </w:rPr>
        <w:t>25.05.2023 godz. 11:50</w:t>
      </w:r>
      <w:r>
        <w:rPr>
          <w:b/>
          <w:color w:val="000000"/>
          <w:u w:color="000000"/>
        </w:rPr>
        <w:t xml:space="preserve"> – 13:00. PODOBSZAR JS 15 – ŻWIRKI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Obszar ograniczony ulicami: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Rondo Żołnierzy Wyklętych--&gt;Stefana Żeromskiego--&gt;Krakowskie Przedmieście--&gt; Płn. granica miasta (wzdłuż Moryca i Granicznej--&gt;Franklina Roosevelta do ronda Żołnierzy Wyklętych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Start: </w:t>
      </w:r>
      <w:r>
        <w:rPr>
          <w:color w:val="000000"/>
          <w:u w:color="000000"/>
        </w:rPr>
        <w:t>godz. 11:</w:t>
      </w:r>
      <w:r>
        <w:rPr>
          <w:color w:val="000000"/>
          <w:u w:color="000000"/>
        </w:rPr>
        <w:t>20 – Stadion Miejski w Piotrkowie Trybunalskim.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Prowadzący: </w:t>
      </w:r>
      <w:r>
        <w:rPr>
          <w:color w:val="000000"/>
          <w:u w:color="000000"/>
        </w:rPr>
        <w:t>Leszek Heinzel – Dyrektor Ośrodka Sportu i Rekreacji w Piotrkowie Trybunalskim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Materiały pomocnicze: </w:t>
      </w:r>
      <w:r>
        <w:rPr>
          <w:color w:val="000000"/>
          <w:u w:color="000000"/>
        </w:rPr>
        <w:t>mapa obszaru.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Liczba uczestników: </w:t>
      </w:r>
      <w:r>
        <w:rPr>
          <w:color w:val="000000"/>
          <w:u w:color="000000"/>
        </w:rPr>
        <w:t>wyłącznie pracownicy UM w Piotrkowie Trybunalskim. Nie wpłynę</w:t>
      </w:r>
      <w:r>
        <w:rPr>
          <w:color w:val="000000"/>
          <w:u w:color="000000"/>
        </w:rPr>
        <w:t>ło jakiekolwiek zgłoszenie od indywidualnego mieszkańca podobszaru.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Obserwatorzy nieuczestniczący: </w:t>
      </w:r>
      <w:r>
        <w:rPr>
          <w:color w:val="000000"/>
          <w:u w:color="000000"/>
        </w:rPr>
        <w:t>2-ch ekspertów z Pomorskiej Grupy Konsultingowej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Przebieg spaceru: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Spotkanie rozpoczął Romuald Wawrzyniak, obserwator z PGK SA, informując jakie obszary zost</w:t>
      </w:r>
      <w:r>
        <w:rPr>
          <w:color w:val="000000"/>
          <w:u w:color="000000"/>
        </w:rPr>
        <w:t>ały w Piotrkowie Trybunalskim wyznaczone do rewitalizacji oraz krótko opisał wynik diagnozy społeczno – gospodarczej, która dotyczyła podobszaru JS 16 - Żwirki.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Uwagi i potrzeby zgłoszone podczas spaceru badawczego: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 uwagi na brak zainteresowania mieszkań</w:t>
      </w:r>
      <w:r>
        <w:rPr>
          <w:color w:val="000000"/>
          <w:u w:color="000000"/>
        </w:rPr>
        <w:t>ców JS 15 udziałem w spacerze, jego trasę ograniczono do obszaru Stadionu Miejskiego w Piotrkowie Trybunalskim. Pan Leszek Heinzel – Dyrektor Ośrodka Sportu i Rekreacji w Piotrkowie Trybunalskim przedstawił problemy i potencjały generowane w tej przestrzen</w:t>
      </w:r>
      <w:r>
        <w:rPr>
          <w:color w:val="000000"/>
          <w:u w:color="000000"/>
        </w:rPr>
        <w:t>i publicznej.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Zasadniczym problemem jest brak odpowiednich przestrzeni parkingowych wokół obiektów sportowych i rekreacyjnych. Generuje to niechęć zmotoryzowanych mieszkańców do uczestnictwa w proponowanych przez OSiR imprezach. Z drugiej strony generuje t</w:t>
      </w:r>
      <w:r>
        <w:rPr>
          <w:color w:val="000000"/>
          <w:u w:color="000000"/>
        </w:rPr>
        <w:t>o niezadowolenie okolicznych mieszkańców w związku z licznymi dla nich utrudnieniami</w:t>
      </w:r>
      <w:r>
        <w:rPr>
          <w:color w:val="000000"/>
          <w:u w:color="000000"/>
        </w:rPr>
        <w:br/>
        <w:t>w trakcie trwania imprez, w tym głównie polegających na blokowanie bram i dojazdów do ich posesji.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Istniejąca przestrzeń publiczna stwarza możliwość istotnego wzbogacenia </w:t>
      </w:r>
      <w:r>
        <w:rPr>
          <w:color w:val="000000"/>
          <w:u w:color="000000"/>
        </w:rPr>
        <w:t>dotychczasowej oferty sportowo- rekreacyjnej nie tylko dla mieszkańców podobszaru ale całej społeczności miasta. Wspomnieć tu należy o planach dotyczących basenu wakacyjnego z mini parkiem wodnym lub zadaszonego sztucznego lodowiska.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 xml:space="preserve">Fotografia  - Spacer </w:t>
      </w:r>
      <w:r>
        <w:rPr>
          <w:b/>
          <w:color w:val="000000"/>
          <w:u w:color="000000"/>
        </w:rPr>
        <w:t>badawczy [Stadion Miejski]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bookmarkStart w:id="0" w:name="_GoBack"/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7485915" cy="3443521"/>
            <wp:effectExtent l="0" t="0" r="0" b="0"/>
            <wp:docPr id="100053" name="Obraz 10005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58" r:link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85915" cy="344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Inne zgłaszane sprawy: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Wszelkie działania wzbogacające niniejszą przestrzeń publiczną będą musiały być skorelowane z równoważnym rozwojem infrastruktury drogowej, w tym głównie parkingowej.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b/>
          <w:color w:val="000000"/>
          <w:u w:color="000000"/>
        </w:rPr>
        <w:t xml:space="preserve">25.05.2023 godz 13.30 – 15.10. </w:t>
      </w:r>
      <w:r>
        <w:rPr>
          <w:b/>
          <w:color w:val="000000"/>
          <w:u w:color="000000"/>
        </w:rPr>
        <w:t>PODOBSZAR JS 13 – BUGAJ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Obszar ograniczony ulicami: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Wolborska (od M. Curie Skłodowskiej do Wierzejskiej)--&gt;Wierzejska (do wsch. granicy miasta)--&gt;Wsch. granica miasta wzdłuż Osiedla Jeziorna--&gt;Kleszcz--&gt; Świerczów--&gt;Świerczowska--&gt;Przedborska--&gt;Śląska--&gt;</w:t>
      </w:r>
      <w:r>
        <w:rPr>
          <w:b/>
          <w:color w:val="000000"/>
          <w:u w:color="000000"/>
        </w:rPr>
        <w:t>Rondo Sulejowskie--&gt;M. Curie Skłodowskiej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Start: </w:t>
      </w:r>
      <w:r>
        <w:rPr>
          <w:color w:val="000000"/>
          <w:u w:color="000000"/>
        </w:rPr>
        <w:t>godz. 13:30 z ul. Wł. Broniewskiego w Piotrkowie Trybunalskim.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Prowadzący: </w:t>
      </w:r>
      <w:r>
        <w:rPr>
          <w:color w:val="000000"/>
          <w:u w:color="000000"/>
        </w:rPr>
        <w:t>Katarzyna Szokalska – Dyrektor Biura Rozwoju Miasta i Inwestycji UM w Piotrkowie Trybunalskim.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Materiały pomocnicze: </w:t>
      </w:r>
      <w:r>
        <w:rPr>
          <w:color w:val="000000"/>
          <w:u w:color="000000"/>
        </w:rPr>
        <w:t>mapa obszaru.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L</w:t>
      </w:r>
      <w:r>
        <w:rPr>
          <w:b/>
          <w:color w:val="000000"/>
          <w:u w:color="000000"/>
        </w:rPr>
        <w:t xml:space="preserve">iczba uczestników: </w:t>
      </w:r>
      <w:r>
        <w:rPr>
          <w:color w:val="000000"/>
          <w:u w:color="000000"/>
        </w:rPr>
        <w:t>9 mieszkańców oraz 3-ch pracowników UM w Piotrkowie Trybunalskim.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Obserwatorzy nieuczestniczący: </w:t>
      </w:r>
      <w:r>
        <w:rPr>
          <w:color w:val="000000"/>
          <w:u w:color="000000"/>
        </w:rPr>
        <w:t>2-ch ekspertów z Pomorskiej Grupy Konsultingowej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Przebieg spaceru: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Spotkanie rozpoczął Romuald Wawrzyniak, obserwator z PGK SA, wyjaśniając,</w:t>
      </w:r>
      <w:r>
        <w:rPr>
          <w:color w:val="000000"/>
          <w:u w:color="000000"/>
        </w:rPr>
        <w:t xml:space="preserve"> czym jest rewitalizacja, jak wygląda prowadzenie tego procesu zgodnie z ustawą. Omówił również zasady delimitacji obszarów, powiedział, jakie obszary zostały w Piotrkowie Trybunalskim wyznaczone do rewitalizacji, krótko opisał granice obszaru JS13 – Bugaj</w:t>
      </w:r>
      <w:r>
        <w:rPr>
          <w:color w:val="000000"/>
          <w:u w:color="000000"/>
        </w:rPr>
        <w:t xml:space="preserve"> oraz wynik diagnozy społeczno – gospodarczej, która dotyczyła tego podobszaru.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Uwagi i potrzeby zgłoszone podczas spaceru badawczego: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b/>
          <w:color w:val="000000"/>
          <w:u w:color="000000"/>
        </w:rPr>
        <w:t>Zbiornik wodny Bugaj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Dojazd zmotoryzowanych jak i rowerzystów do plaży OSiR „Słoneczko” nie stwarza problemów po ostat</w:t>
      </w:r>
      <w:r>
        <w:rPr>
          <w:color w:val="000000"/>
          <w:u w:color="000000"/>
        </w:rPr>
        <w:t>nich miejskich inwestycjach. Jest to ważny potencjał tej przestrzeni publicznej.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Przestrzeń rekreacyjno-plażowa stwarza spory niedosyt mieszkańców jeśli chodzi</w:t>
      </w:r>
      <w:r>
        <w:rPr>
          <w:color w:val="000000"/>
          <w:u w:color="000000"/>
        </w:rPr>
        <w:br/>
        <w:t>o udogodnienia sprzętowe i gastronomiczne. Wskazano na potrzebę rozwoju usług gastronomicznych o</w:t>
      </w:r>
      <w:r>
        <w:rPr>
          <w:color w:val="000000"/>
          <w:u w:color="000000"/>
        </w:rPr>
        <w:t>raz poziomu wyposażenia i jego dostępności, w tym m.in. sprzętu wodnego oraz plażowego (leżaki, parasole), ewentualnie wyznaczenia i zagospodarowania w odpowiedniej odległości od plaży miejsc do grillowania itp.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Wskazano także na potrzebę zaspokojenia na e</w:t>
      </w:r>
      <w:r>
        <w:rPr>
          <w:color w:val="000000"/>
          <w:u w:color="000000"/>
        </w:rPr>
        <w:t>uropejskim poziomie potrzeb higieniczno- sanitarnych korzystających z infrastruktury.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Spacer badawczy [Bugaj "Słoneczko"]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7280540" cy="3349048"/>
            <wp:effectExtent l="0" t="0" r="0" b="0"/>
            <wp:docPr id="100055" name="Obraz 10005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60" r:link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280540" cy="334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części nadbrzeżnej dużego akwenu nie wykorzystano potencjału dostępu dla wędkarzy oraz sprzętu pływającego. Zgłoszon</w:t>
      </w:r>
      <w:r>
        <w:rPr>
          <w:color w:val="000000"/>
          <w:u w:color="000000"/>
        </w:rPr>
        <w:t>o uwagi, aby podjęto działania w kierunku stworzenia tego typu infrastruktury. Generalnie uznano sprawę uregulowania dostępności do linii brzegowej za bardzo istotną i pilną z punktu widzenia pełnego wykorzystania rozwojowego potencjału tej przestrzeni w m</w:t>
      </w:r>
      <w:r>
        <w:rPr>
          <w:color w:val="000000"/>
          <w:u w:color="000000"/>
        </w:rPr>
        <w:t>yśl uzyskania synergii funkcji: rekreacyjnych, mieszkalnych i handlowo-usługowych.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>Fotografia  - Spacer badawczy [Bugaj nadbrzeże]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6178324" cy="3467584"/>
            <wp:effectExtent l="0" t="0" r="0" b="0"/>
            <wp:docPr id="100057" name="Obraz 10005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62" r:link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78324" cy="346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Wśród wszystkich uczestników spaceru panowała zgodna opinia, że ta przestrzeń publiczna ma w dalszym ciągu ogromny potencj</w:t>
      </w:r>
      <w:r>
        <w:rPr>
          <w:color w:val="000000"/>
          <w:u w:color="000000"/>
        </w:rPr>
        <w:t>ał rozwojowy dla zaspokojenia rosnących oczekiwań mieszkańców.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Inne zgłaszane sprawy: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W ramach podejmowanych działań rewitalizacyjnych zbiornika Bugaj nie powinno się dopuścić do ograniczenia zwykłym mieszkańcom dostępu do wody wzdłuż linii brzegowej ak</w:t>
      </w:r>
      <w:r>
        <w:rPr>
          <w:color w:val="000000"/>
          <w:u w:color="000000"/>
        </w:rPr>
        <w:t>wenu.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Przeprowadzić oczyszczenie zbiornika i pomostów, aby jakość wody spełniała wysokie standardy sanitarne.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 xml:space="preserve">Przystąpić do opracowania miejskiego planu zagospodarowania miasta od strony ul. Żeglarskiej w kierunku zachodnim zbiornika. Do czasu </w:t>
      </w:r>
      <w:r>
        <w:rPr>
          <w:color w:val="000000"/>
          <w:u w:color="000000"/>
        </w:rPr>
        <w:t>uchwalenia dokumentu zablokować wszelkie podziały terenów przybrzeżnych.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Przystąpić do sporządzenia uchwały krajobrazowej.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b/>
          <w:color w:val="000000"/>
          <w:u w:color="000000"/>
        </w:rPr>
        <w:t>Osiedle Wyzwolenia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Na ul. Broniewskiego zgłoszono istniejący potencjał dla wzbogacenie istniejącej zielonej przestrzeni </w:t>
      </w:r>
      <w:r>
        <w:rPr>
          <w:color w:val="000000"/>
          <w:u w:color="000000"/>
        </w:rPr>
        <w:t>o infrastrukturę parkową. W ramach naboru fiszek projektowych Urząd Miasta zadeklarował złożenie stosownej propozycji.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Targowisko osiedlowe przy ul. Wyzwolenia wymaga działań modernizacyjnych spełniających standardy sanitarne, ładu przestrzennego i integra</w:t>
      </w:r>
      <w:r>
        <w:rPr>
          <w:color w:val="000000"/>
          <w:u w:color="000000"/>
        </w:rPr>
        <w:t>cji mieszkańców.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Fotografia  - Spacer badawczy [ul. Broniewskiego]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7414034" cy="3410455"/>
            <wp:effectExtent l="0" t="0" r="0" b="0"/>
            <wp:docPr id="100059" name="Obraz 10005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64" r:link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414034" cy="341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Podsumowanie.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Rewitalizacja to coś więcej niż remont. W zaprezentowanych spacerach nie koncentrowano się na pojedynczych obiektach i elementach infrastruktury wymagającej naprawy lecz na </w:t>
      </w:r>
      <w:r>
        <w:rPr>
          <w:color w:val="000000"/>
          <w:u w:color="000000"/>
        </w:rPr>
        <w:t>potencjałach integracji i aktywizacji mieszkańców tkwiących w zaniedbanych lub zapomnianych przestrzeniach.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przestrzeni publicznej miasta w ciągu dnia ludzie szybko się przemieszczają, omijając się</w:t>
      </w:r>
      <w:r>
        <w:rPr>
          <w:color w:val="000000"/>
          <w:u w:color="000000"/>
        </w:rPr>
        <w:br/>
        <w:t>w pośpiechu i potrącając. W czasie wolnym oraz wieczorem</w:t>
      </w:r>
      <w:r>
        <w:rPr>
          <w:color w:val="000000"/>
          <w:u w:color="000000"/>
        </w:rPr>
        <w:t xml:space="preserve"> najczęściej pozostają w domach. Powodem tego jest brak takich miejsc w przestrzeni publicznej, które by zachęcały do wyjścia z domu, często także strach, aby gdzieś się zatrzymać i usiąść z uwagi na “uciążliwych biesiadników ławkowych” zaczepiających ludz</w:t>
      </w:r>
      <w:r>
        <w:rPr>
          <w:color w:val="000000"/>
          <w:u w:color="000000"/>
        </w:rPr>
        <w:t>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Udane realizacje przestrzenne to takie, które ożywiają przestrzeń publiczną i przyciągają ludzi, którzy chcą mieszkać, pracować, wypoczywać i żyć na stałe w bezpiecznym i atrakcyjnym środowisku. Zwiększone zainteresowanie danym obszarem wpływa korzystni</w:t>
      </w:r>
      <w:r>
        <w:rPr>
          <w:color w:val="000000"/>
          <w:u w:color="000000"/>
        </w:rPr>
        <w:t>e na różne branże gospodarki, m.in. handel, usługi, nieruchomości. Ulepszanie terenów publicznych wpływa korzystnie na wartości nieruchomości komercyjnych i prywatne inwestycje mieszkaniowe a atrakcyjne tereny rekreacyjne zwiększają wartość osadniczą miast</w:t>
      </w:r>
      <w:r>
        <w:rPr>
          <w:color w:val="000000"/>
          <w:u w:color="000000"/>
        </w:rPr>
        <w:t>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Uczestniczący w spacerach mieszkańcy wskazali kilka takich przestrzeni z potencjałami ożywienia życia publicznego i poprawy ładu przestrzennego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5.4.</w:t>
      </w:r>
      <w:r>
        <w:rPr>
          <w:b/>
          <w:color w:val="000000"/>
          <w:u w:color="000000"/>
        </w:rPr>
        <w:t>Podsumowanie diagnozy szczegółowej obszaru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Przeprowadzona szczegółowa diagnoza obsz</w:t>
      </w:r>
      <w:r>
        <w:rPr>
          <w:color w:val="000000"/>
          <w:u w:color="000000"/>
        </w:rPr>
        <w:t>aru rewitalizacji, oparta zarówno na analizie wskaźnikowej jak i innych modelach badawczych, w tym partycypację społeczną wyrażoną uczestnictwem społeczności obszaru rewitalizacji w ankietyzacji czy odbytych spacerach badawczych, umożliwiła identyfikację k</w:t>
      </w:r>
      <w:r>
        <w:rPr>
          <w:color w:val="000000"/>
          <w:u w:color="000000"/>
        </w:rPr>
        <w:t>luczowych problemów na obszarze rewitalizacji. Za problemy węzłowe można uznać wskazane w tabeli poniżej.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Zdiagnozowane węzłowe problemy na obszarze rewitalizacji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17"/>
        <w:gridCol w:w="2961"/>
        <w:gridCol w:w="1506"/>
        <w:gridCol w:w="1369"/>
        <w:gridCol w:w="1369"/>
      </w:tblGrid>
      <w:tr w:rsidR="00A916A4">
        <w:trPr>
          <w:trHeight w:val="396"/>
        </w:trPr>
        <w:tc>
          <w:tcPr>
            <w:tcW w:w="54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PROBLEMY I ZAGROŻENIA</w:t>
            </w:r>
          </w:p>
        </w:tc>
        <w:tc>
          <w:tcPr>
            <w:tcW w:w="37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Podobszary rewitalizacji</w:t>
            </w:r>
          </w:p>
        </w:tc>
      </w:tr>
      <w:tr w:rsidR="00A916A4">
        <w:trPr>
          <w:trHeight w:val="864"/>
        </w:trPr>
        <w:tc>
          <w:tcPr>
            <w:tcW w:w="28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Problem (stan kryzysowy)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JS1 - Śródmieście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JS13- Bugaj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JS15- Żwirki </w:t>
            </w:r>
          </w:p>
        </w:tc>
      </w:tr>
      <w:tr w:rsidR="00A916A4">
        <w:trPr>
          <w:trHeight w:val="1452"/>
        </w:trPr>
        <w:tc>
          <w:tcPr>
            <w:tcW w:w="2820" w:type="dxa"/>
            <w:vMerge w:val="restart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Społeczna</w:t>
            </w: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Problemy demograficzne (Starzenie społeczeństwa, depopulacja itp.)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Problemy dotyczące rynku pracy</w:t>
            </w:r>
          </w:p>
        </w:tc>
        <w:tc>
          <w:tcPr>
            <w:tcW w:w="13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Niski poziom samowystarczalności ekonomicznej i </w:t>
            </w:r>
            <w:r>
              <w:t>samodzielności mieszkańców, zagrożenia wykluczenia społecznego i dysfunkcyjności w rodzinie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Niskie kompetencje rodzicielskie, niedostateczne więzi rodzinne oraz problemy dotyczące przemocy w rodzinie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Niski poziom bezpieczeństwa publicznego, 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Niedostateczna oferta (kulturalna, sportowa, rekreacyjna) spędzenia czasu wolnego mieszkańców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Słaba aktywność organizacji pozarządowych i brak ich wsparcia finansowego, lokalowego ze strony urzędu miasta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Słaba integracja międzyludzka</w:t>
            </w:r>
            <w:r>
              <w:t xml:space="preserve"> oraz niezadawalająca współpraca instytucji publicznych z mieszkańcami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Gospodarcza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Niski poziom przedsiębiorczości, niedostateczne wsparcie przedsiębiorczości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Środowiskowa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Wysoki poziom zanieczyszczenia powietrza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lastRenderedPageBreak/>
              <w:t>Techniczna</w:t>
            </w:r>
          </w:p>
        </w:tc>
        <w:tc>
          <w:tcPr>
            <w:tcW w:w="25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Niski </w:t>
            </w:r>
            <w:r>
              <w:t>poziom dostępu do mediów w komunalnej infrastrukturze mieszkaniowej</w:t>
            </w:r>
          </w:p>
        </w:tc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452"/>
        </w:trPr>
        <w:tc>
          <w:tcPr>
            <w:tcW w:w="28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Funkcjonalno-przestrzenna</w:t>
            </w: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Niedobór bezpiecznej infrastruktury drogowej, w tym pieszej i rowerowej</w:t>
            </w:r>
          </w:p>
        </w:tc>
        <w:tc>
          <w:tcPr>
            <w:tcW w:w="13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Niedobór/zły stan gminnych zasobów mieszkaniowych</w:t>
            </w:r>
          </w:p>
        </w:tc>
        <w:tc>
          <w:tcPr>
            <w:tcW w:w="13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Niedobór </w:t>
            </w:r>
            <w:r>
              <w:t>zagospodarowanej przestrzeni publicznej służącej aktywności społeczno-kulturalnej oraz integracji mieszkańców, w tym zielonej architektury i rekreacyjno-sportowej</w:t>
            </w:r>
          </w:p>
        </w:tc>
        <w:tc>
          <w:tcPr>
            <w:tcW w:w="13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Niedostateczna dostępność do infrastruktury publicznej dla osób ze szczególnymi potrz</w:t>
            </w:r>
            <w:r>
              <w:t>ebami</w:t>
            </w:r>
          </w:p>
        </w:tc>
        <w:tc>
          <w:tcPr>
            <w:tcW w:w="13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Niska estetyka przestrzeni publicznych</w:t>
            </w:r>
          </w:p>
        </w:tc>
        <w:tc>
          <w:tcPr>
            <w:tcW w:w="13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1452"/>
        </w:trPr>
        <w:tc>
          <w:tcPr>
            <w:tcW w:w="28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5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Degradacja infrastruktury publicznej. Występują obiekty/przestrzenie nieużytkowane</w:t>
            </w:r>
          </w:p>
        </w:tc>
        <w:tc>
          <w:tcPr>
            <w:tcW w:w="13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0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5.5.</w:t>
      </w:r>
      <w:r>
        <w:rPr>
          <w:b/>
          <w:color w:val="000000"/>
          <w:u w:color="000000"/>
        </w:rPr>
        <w:t>Zidentyfikowane potencjały lokalne obszaru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Biorąc pod uwagę skalę zidentyfikowanych </w:t>
      </w:r>
      <w:r>
        <w:rPr>
          <w:color w:val="000000"/>
          <w:u w:color="000000"/>
        </w:rPr>
        <w:t>problemów oraz ich intensywność, możliwe jest podjęcie skoncentrowanych działań publicznych umożliwiających wielowymiarową rewitalizację przy optymalnym wykorzystaniu lokalnych potencjałów (w tym także kulturowych) oraz specyficznych uwarunkowań obszaru re</w:t>
      </w:r>
      <w:r>
        <w:rPr>
          <w:color w:val="000000"/>
          <w:u w:color="000000"/>
        </w:rPr>
        <w:t>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Zdiagnozowany potencjał lokalny obszaru rewitalizacji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54"/>
        <w:gridCol w:w="1803"/>
        <w:gridCol w:w="1491"/>
        <w:gridCol w:w="1474"/>
      </w:tblGrid>
      <w:tr w:rsidR="00A916A4">
        <w:trPr>
          <w:trHeight w:val="396"/>
        </w:trPr>
        <w:tc>
          <w:tcPr>
            <w:tcW w:w="489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32"/>
              </w:rPr>
              <w:t>Potencjały lokalne</w:t>
            </w:r>
          </w:p>
        </w:tc>
        <w:tc>
          <w:tcPr>
            <w:tcW w:w="412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Podobszary rewitalizacji</w:t>
            </w:r>
          </w:p>
        </w:tc>
      </w:tr>
      <w:tr w:rsidR="00A916A4">
        <w:trPr>
          <w:trHeight w:val="840"/>
        </w:trPr>
        <w:tc>
          <w:tcPr>
            <w:tcW w:w="489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JS1 - Śródmieście 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JS13- Bugaj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Podobszar JS15- Żwirki 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Wysoki odsetek ludzi młodych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lastRenderedPageBreak/>
              <w:t xml:space="preserve">Zabytki historyczne/ </w:t>
            </w:r>
            <w:r>
              <w:rPr>
                <w:sz w:val="24"/>
              </w:rPr>
              <w:t>świadomość historyczna mieszkańców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Dziedzictwo kulturowe (Kultywowane tradycje, historia obszaru.)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Kapitał ludzki - identyfikacja i pobudzenie społeczne lokalnych liderów oraz NGO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Wysokie walory przyrodnicze podobszaru/potencjał dla </w:t>
            </w:r>
            <w:r>
              <w:rPr>
                <w:sz w:val="24"/>
              </w:rPr>
              <w:t>zielonej infrastruktury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Potencjał rekreacyjny podobszaru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Ponadlokalna dostępność komunikacyjna (sąsiedztwo tras ekspresowych i wojewódzkich)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sz w:val="24"/>
                <w:u w:color="000000"/>
              </w:rPr>
              <w:t xml:space="preserve">Rozwój transportu zero emisyjnego </w:t>
            </w:r>
            <w:r>
              <w:rPr>
                <w:color w:val="000000"/>
                <w:sz w:val="24"/>
                <w:u w:color="000000"/>
              </w:rPr>
              <w:br/>
              <w:t>w komunikacji publicznej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sz w:val="24"/>
                <w:u w:color="000000"/>
              </w:rPr>
              <w:t xml:space="preserve">Możliwość zagospodarowania </w:t>
            </w:r>
            <w:r>
              <w:rPr>
                <w:color w:val="000000"/>
                <w:sz w:val="24"/>
                <w:u w:color="000000"/>
              </w:rPr>
              <w:t>obiektów</w:t>
            </w:r>
            <w:r>
              <w:rPr>
                <w:color w:val="000000"/>
                <w:sz w:val="24"/>
                <w:u w:color="000000"/>
              </w:rPr>
              <w:br/>
              <w:t>/przestrzeni nieużytkowanych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Tereny inwestycyjne dla rozwoju przedsiębiorczości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  <w:tr w:rsidR="00A916A4">
        <w:trPr>
          <w:trHeight w:val="708"/>
        </w:trPr>
        <w:tc>
          <w:tcPr>
            <w:tcW w:w="48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sz w:val="24"/>
                <w:u w:color="000000"/>
              </w:rPr>
              <w:t xml:space="preserve">Potencjał osadniczy </w:t>
            </w:r>
            <w:r>
              <w:rPr>
                <w:color w:val="000000"/>
                <w:sz w:val="24"/>
                <w:u w:color="000000"/>
              </w:rPr>
              <w:br/>
              <w:t>(działki, uzbrojenie, mpzp itp)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2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X</w:t>
            </w:r>
          </w:p>
        </w:tc>
      </w:tr>
    </w:tbl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b/>
          <w:color w:val="000000"/>
          <w:u w:color="000000"/>
        </w:rPr>
        <w:t>Opis wizji stanu obszaru po przeprowadzeniu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Wizja przedstawia stan docelowy </w:t>
      </w:r>
      <w:r>
        <w:rPr>
          <w:color w:val="000000"/>
          <w:u w:color="000000"/>
        </w:rPr>
        <w:t>obszaru rewitalizacji objętego GPR. Stanowi również motywację do działania wszystkich interesariuszy rewitalizacji dla jak najbardziej efektywnego wdrażania Gminnego Programu Rewitalizacji dla Miasta Piotrków Trybunalski na lata 2024-2030. Program ten stan</w:t>
      </w:r>
      <w:r>
        <w:rPr>
          <w:color w:val="000000"/>
          <w:u w:color="000000"/>
        </w:rPr>
        <w:t>owić będzie kontynuację rewitalizacji podjętej w ramach poprzednich programów, tj: Lokalnego Programu Rewitalizacji na lata 2007 – 2013 oraz Programu Rewitalizacji dla Miasta Piotrkowa Trybunalskiego do roku 2023. Obszar rewitalizacji tylko w części pokryw</w:t>
      </w:r>
      <w:r>
        <w:rPr>
          <w:color w:val="000000"/>
          <w:u w:color="000000"/>
        </w:rPr>
        <w:t>a się z obszarem objętym poprzednimi programami, jest większy zarówno obszarowo jak i demograficznie. Działania rewitalizacyjne podjęte zostaną oprócz Śródmieścia także na podobszarach umownie nazwanych Żwirki i Bugaj.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Obszar rewitalizacji po przeprowadzen</w:t>
      </w:r>
      <w:r>
        <w:rPr>
          <w:color w:val="000000"/>
          <w:u w:color="000000"/>
        </w:rPr>
        <w:t>iu zawartych w Programie działań rewitalizacyjnych będzie miejscem wykorzystującym lokalny potencjał do osiągnięcia jak najwyższego stopnia rozwoju społeczno-gospodarczego. Wzrost dobrobytu mieszkańców połączony z modernizacją infrastruktury technicznej, s</w:t>
      </w:r>
      <w:r>
        <w:rPr>
          <w:color w:val="000000"/>
          <w:u w:color="000000"/>
        </w:rPr>
        <w:t>połecznej i gospodarczej oraz sanacją przestrzeni publicznej sprawi, że obszar ten stanie się miejscem przyjaznym do życia. Jednocześnie poprawi się spójność społeczno-gospodarcza i przestrzenna miasta. Wyeliminowane zostaną lub będą znacznie ograniczone z</w:t>
      </w:r>
      <w:r>
        <w:rPr>
          <w:color w:val="000000"/>
          <w:u w:color="000000"/>
        </w:rPr>
        <w:t>diagnozowane stany problemowe. Lokalna społeczność przejawiać będzie wysoki poziom społecznej aktywności, integracji i samoorganizacji. Mieszkańcy obszaru rewitalizacji będą aktywnie uczestniczyć w życiu społeczno-kulturalnym, nastąpi wzrost poczucia lokal</w:t>
      </w:r>
      <w:r>
        <w:rPr>
          <w:color w:val="000000"/>
          <w:u w:color="000000"/>
        </w:rPr>
        <w:t>nej tożsamości oraz wzrośnie poziom ich przedsiębiorczości. Zmniejszeniu ulegnie natężenie zjawisk patologicznych. W zakresie działań infrastrukturalnych gruntownie zmodernizowane będą obiekty odznaczające się dotąd złym stanem technicznym. Planowane inwes</w:t>
      </w:r>
      <w:r>
        <w:rPr>
          <w:color w:val="000000"/>
          <w:u w:color="000000"/>
        </w:rPr>
        <w:t>tycje przywrócą świetność zasobów historycznych, zabytkowych i kulturowych miasta. Wysokiej jakości infrastruktura pomagać będzie w efektywnej realizacji zmian na gruncie społecznym. Nastąpi poprawa jakości poszczególnych komponentów środowiska naturalnego</w:t>
      </w:r>
      <w:r>
        <w:rPr>
          <w:color w:val="000000"/>
          <w:u w:color="000000"/>
        </w:rPr>
        <w:t>, wzmocniony zostanie ład przestrzenny i estetyka przestrzeni publicznej w mieście.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Kwintesencją powyższego opisu wizji stanu obszaru rewitalizacji jest stwierdzenie:</w:t>
      </w:r>
    </w:p>
    <w:p w:rsidR="00A77B3E" w:rsidRDefault="00EC7227">
      <w:pPr>
        <w:spacing w:before="120" w:after="120"/>
        <w:jc w:val="center"/>
        <w:rPr>
          <w:b/>
          <w:color w:val="000000"/>
          <w:u w:color="000000"/>
        </w:rPr>
      </w:pPr>
      <w:r>
        <w:rPr>
          <w:b/>
          <w:i/>
          <w:color w:val="000000"/>
          <w:u w:color="000000"/>
        </w:rPr>
        <w:t xml:space="preserve">„OBSZAR REWITALIZACJI TO DOBRE MIEJSCE DO MIESZKANIA, </w:t>
      </w:r>
      <w:r>
        <w:rPr>
          <w:b/>
          <w:i/>
          <w:color w:val="000000"/>
          <w:u w:color="000000"/>
        </w:rPr>
        <w:br/>
        <w:t>PRACY I WYPOCZYNKU - OŻYWIONE I UZ</w:t>
      </w:r>
      <w:r>
        <w:rPr>
          <w:b/>
          <w:i/>
          <w:color w:val="000000"/>
          <w:u w:color="000000"/>
        </w:rPr>
        <w:t xml:space="preserve">DROWIONE SPOŁECZNIE, </w:t>
      </w:r>
      <w:r>
        <w:rPr>
          <w:b/>
          <w:i/>
          <w:color w:val="000000"/>
          <w:u w:color="000000"/>
        </w:rPr>
        <w:br/>
        <w:t>O WYSOKIEJ JAKOŚCI ŻYCIA JEGO MIESZKAŃCÓW”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lastRenderedPageBreak/>
        <w:t>7. </w:t>
      </w:r>
      <w:r>
        <w:rPr>
          <w:b/>
          <w:color w:val="000000"/>
          <w:u w:color="000000"/>
        </w:rPr>
        <w:t>Cele i kierunki działań rewitalizacyjnych służących eliminacji lub ograniczeniu negatywnych zjawisk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7.1.</w:t>
      </w:r>
      <w:r>
        <w:rPr>
          <w:b/>
          <w:color w:val="000000"/>
          <w:u w:color="000000"/>
        </w:rPr>
        <w:t>Cel główny Gminnego Programu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Wypełnienie przyjętej wizji jest uwarunko</w:t>
      </w:r>
      <w:r>
        <w:rPr>
          <w:color w:val="000000"/>
          <w:u w:color="000000"/>
        </w:rPr>
        <w:t>wane realizacją postawionych celów rewitalizacji</w:t>
      </w:r>
      <w:r>
        <w:rPr>
          <w:color w:val="000000"/>
          <w:u w:color="000000"/>
        </w:rPr>
        <w:br/>
        <w:t>i zaplanowanych do realizacji kierunków działań, służących eliminacji lub ograniczeniu zdiagnozowanych na etapie diagnostycznym negatywnych zjawisk, ściśle odpowiadających przyjętym celom.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Celem głównym Gmin</w:t>
      </w:r>
      <w:r>
        <w:rPr>
          <w:color w:val="000000"/>
          <w:u w:color="000000"/>
        </w:rPr>
        <w:t xml:space="preserve">nego Programu Rewitalizacji dla Miasta Piotrków Trybunalski na lata 2024-2030 jest </w:t>
      </w:r>
      <w:r>
        <w:rPr>
          <w:b/>
          <w:i/>
          <w:color w:val="000000"/>
          <w:u w:color="000000"/>
        </w:rPr>
        <w:t>zminimalizowanie skali występowania negatywnych zjawisk i obszarów problemowych, a także zrównoważony rozwój społeczno-gospodarczy, oparty na zaangażowaniu mieszkańców i inn</w:t>
      </w:r>
      <w:r>
        <w:rPr>
          <w:b/>
          <w:i/>
          <w:color w:val="000000"/>
          <w:u w:color="000000"/>
        </w:rPr>
        <w:t>ych grup interesariuszy Gminnego Programu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7.2.</w:t>
      </w:r>
      <w:r>
        <w:rPr>
          <w:b/>
          <w:color w:val="000000"/>
          <w:u w:color="000000"/>
        </w:rPr>
        <w:t>Cele strategiczne i kierunki działań rewitalizacyjnych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Dla uszczegółowienia celu głównego wyznaczono wynikające z niego cele strategiczne</w:t>
      </w:r>
      <w:r>
        <w:rPr>
          <w:color w:val="000000"/>
          <w:u w:color="000000"/>
        </w:rPr>
        <w:br/>
        <w:t>i kierunki działań. Realizacja poniższych celów strategic</w:t>
      </w:r>
      <w:r>
        <w:rPr>
          <w:color w:val="000000"/>
          <w:u w:color="000000"/>
        </w:rPr>
        <w:t>znych doprowadzi do wyprowadzenia poszczególnych podobszarów rewitalizacji ze stanu kryzysowego oraz przyczyni się do aktywizacji lokalnej społeczności. Należy podkreślić, że zaplanowane przedsięwzięcia będą dopasowane do wyznaczonych celów i kierunków dzi</w:t>
      </w:r>
      <w:r>
        <w:rPr>
          <w:color w:val="000000"/>
          <w:u w:color="000000"/>
        </w:rPr>
        <w:t>ałań przyczyniając się do minimalizowania skali zjawisk kryzysowych nie tylko na obszarze rewitalizacji, ale również na terenie całego miasta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v</w:t>
      </w:r>
      <w:r>
        <w:rPr>
          <w:b/>
          <w:i/>
          <w:color w:val="000000"/>
          <w:u w:color="000000"/>
        </w:rPr>
        <w:t>Cel strategiczny 1: „Podniesienie jakości życia i aktywności społecznej mieszkańców”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Pierwszy cel strategiczny</w:t>
      </w:r>
      <w:r>
        <w:rPr>
          <w:color w:val="000000"/>
          <w:u w:color="000000"/>
        </w:rPr>
        <w:t xml:space="preserve"> od</w:t>
      </w:r>
      <w:r>
        <w:rPr>
          <w:color w:val="000000"/>
          <w:u w:color="000000"/>
        </w:rPr>
        <w:t>nosi się do przeciwdziałania negatywnym zjawiskom ze sfery społecznej poprzez kompleksowe działania aktywizujące i integrujące lokalną społeczność. Aktywizacja ma przebiegać na polu zawodowym, ale także na polu integracji społecznej. Działaniami wynikający</w:t>
      </w:r>
      <w:r>
        <w:rPr>
          <w:color w:val="000000"/>
          <w:u w:color="000000"/>
        </w:rPr>
        <w:t>mi z danego celu będą objęci w pierwszej kolejności mieszkańcy obszaru rewitalizacji zagrożeni wykluczeniem społecznym bądź wykluczeni społecznie. Zakres działań będzie obejmował podniesienie aktywności i kwalifikacji zawodowych mieszkańców, wsparcie różny</w:t>
      </w:r>
      <w:r>
        <w:rPr>
          <w:color w:val="000000"/>
          <w:u w:color="000000"/>
        </w:rPr>
        <w:t xml:space="preserve">ch form zatrudnienia, w tym samozatrudnienia, rozwój usług opiekuńczych </w:t>
      </w:r>
      <w:r>
        <w:rPr>
          <w:color w:val="000000"/>
          <w:u w:color="000000"/>
        </w:rPr>
        <w:br/>
        <w:t xml:space="preserve">i społecznych. Szerokie spektrum działań ma zapewnić wzrost jakości kapitału społecznego </w:t>
      </w:r>
      <w:r>
        <w:rPr>
          <w:color w:val="000000"/>
          <w:u w:color="000000"/>
        </w:rPr>
        <w:br/>
        <w:t xml:space="preserve">i kapitału ludzkiego w Piotrkowie Trybunalskim, co doprowadzi do osiągnięcia jak najwyższego </w:t>
      </w:r>
      <w:r>
        <w:rPr>
          <w:color w:val="000000"/>
          <w:u w:color="000000"/>
        </w:rPr>
        <w:t>poziomu rozwoju społeczno-gospodarczego danego obszaru.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1.1: </w:t>
      </w:r>
      <w:r>
        <w:rPr>
          <w:color w:val="000000"/>
          <w:u w:color="000000"/>
        </w:rPr>
        <w:t>Wspieranie i inicjowanie działań zmierzających do zwiększenia dostępności do usług społecznych dla osób zagrożonych wykluczeniem społecznym, w tym osób ze szczególnymi potrze</w:t>
      </w:r>
      <w:r>
        <w:rPr>
          <w:color w:val="000000"/>
          <w:u w:color="000000"/>
        </w:rPr>
        <w:t>bami;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1.2: </w:t>
      </w:r>
      <w:r>
        <w:rPr>
          <w:color w:val="000000"/>
          <w:u w:color="000000"/>
        </w:rPr>
        <w:t>Rozwój lokalnego rynku pracy i aktywizacja osób bezrobotnych, wsparcie w aktywnym poszukiwaniu pracy dla osób znajdujących się w szczególnej sytuacji na rynku pracy;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1.3: </w:t>
      </w:r>
      <w:r>
        <w:rPr>
          <w:color w:val="000000"/>
          <w:u w:color="000000"/>
        </w:rPr>
        <w:t>Wspieranie działań na rzecz inte</w:t>
      </w:r>
      <w:r>
        <w:rPr>
          <w:color w:val="000000"/>
          <w:u w:color="000000"/>
        </w:rPr>
        <w:t>gracji społecznej oraz rozwoju inicjatyw i działań społeczno-kulturalnych w istniejącej lub nowej infrastrukturze;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► </w:t>
      </w:r>
      <w:r>
        <w:rPr>
          <w:b/>
          <w:color w:val="000000"/>
          <w:u w:color="000000"/>
        </w:rPr>
        <w:t xml:space="preserve">Kierunek działania 1.4: </w:t>
      </w:r>
      <w:r>
        <w:rPr>
          <w:color w:val="000000"/>
          <w:u w:color="000000"/>
        </w:rPr>
        <w:t>Zwiększenie poziomu bezpieczeństwa na obszarze rewitalizacji,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v</w:t>
      </w:r>
      <w:r>
        <w:rPr>
          <w:b/>
          <w:i/>
          <w:color w:val="000000"/>
          <w:u w:color="000000"/>
        </w:rPr>
        <w:t xml:space="preserve">Cel strategiczny 2: „Ożywienie gospodarcze obszaru </w:t>
      </w:r>
      <w:r>
        <w:rPr>
          <w:b/>
          <w:i/>
          <w:color w:val="000000"/>
          <w:u w:color="000000"/>
        </w:rPr>
        <w:t>rewitalizacji dla rozwoju przedsiębiorczości”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Zakres działań w ramach </w:t>
      </w:r>
      <w:r>
        <w:rPr>
          <w:i/>
          <w:color w:val="000000"/>
          <w:u w:color="000000"/>
        </w:rPr>
        <w:t>drugiego celu strategicznego</w:t>
      </w:r>
      <w:r>
        <w:rPr>
          <w:color w:val="000000"/>
          <w:u w:color="000000"/>
        </w:rPr>
        <w:t xml:space="preserve"> będzie obejmował podniesienie przedsiębiorczości poprzez wsparcie aktywności gospodarczej na obszarze rewitalizacji oraz działań szkoleniowych, promocyjnych,</w:t>
      </w:r>
      <w:r>
        <w:rPr>
          <w:color w:val="000000"/>
          <w:u w:color="000000"/>
        </w:rPr>
        <w:t xml:space="preserve"> doradczych itp.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2.1: </w:t>
      </w:r>
      <w:r>
        <w:rPr>
          <w:color w:val="000000"/>
          <w:u w:color="000000"/>
        </w:rPr>
        <w:t>Rozwój lokalnej przedsiębiorczości poprzez zapewnienie odpowiedniej infrastruktury technicznej i wsparcie nowo powstających i rozwijających się firm;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v</w:t>
      </w:r>
      <w:r>
        <w:rPr>
          <w:b/>
          <w:i/>
          <w:color w:val="000000"/>
          <w:u w:color="000000"/>
        </w:rPr>
        <w:t>Cel strategiczny 3: „Dostosowanie infrastruktury publicznej do</w:t>
      </w:r>
      <w:r>
        <w:rPr>
          <w:b/>
          <w:i/>
          <w:color w:val="000000"/>
          <w:u w:color="000000"/>
        </w:rPr>
        <w:t xml:space="preserve"> potrzeb mieszkańców, </w:t>
      </w:r>
      <w:r>
        <w:rPr>
          <w:b/>
          <w:i/>
          <w:color w:val="000000"/>
          <w:u w:color="000000"/>
        </w:rPr>
        <w:br/>
        <w:t>w tym wykluczonych i ze szczególnymi potrzebami oraz poprawa środowiska naturalnego i ładu przestrzennego obszaru rewitalizacji”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Trzeci cel strategiczny </w:t>
      </w:r>
      <w:r>
        <w:rPr>
          <w:color w:val="000000"/>
          <w:u w:color="000000"/>
        </w:rPr>
        <w:t>odnosi się przede wszystkim do działań infrastrukturalnych dotyczących sfer: gos</w:t>
      </w:r>
      <w:r>
        <w:rPr>
          <w:color w:val="000000"/>
          <w:u w:color="000000"/>
        </w:rPr>
        <w:t>podarczej, przestrzenno-funkcjonalnej, środowiskowej i technicznej.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Przedsięwzięcia i projekty wynikające z danego celu efektywnie wspierać będą przedsięwzięcia ze sfery społecznej i są z nimi ściśle powiązane. Skuteczność prowadzonej rewitalizacji może by</w:t>
      </w:r>
      <w:r>
        <w:rPr>
          <w:color w:val="000000"/>
          <w:u w:color="000000"/>
        </w:rPr>
        <w:t xml:space="preserve">ć zagwarantowana poprzez kompleksowe działanie we wszystkich jej wymiarach jednocześnie. Poprawa zagospodarowania przestrzennego na obszarze rewitalizacji będzie prowadzona w ramach przedsięwzięć odnoszących się do: </w:t>
      </w:r>
      <w:r>
        <w:rPr>
          <w:color w:val="000000"/>
          <w:u w:color="000000"/>
        </w:rPr>
        <w:lastRenderedPageBreak/>
        <w:t>rozwoju infrastrukturalnego obejmującego</w:t>
      </w:r>
      <w:r>
        <w:rPr>
          <w:color w:val="000000"/>
          <w:u w:color="000000"/>
        </w:rPr>
        <w:t xml:space="preserve"> infrastrukturę techniczną i społeczną oraz wprowadzeniu rozwiązań technicznych przyjaznych środowisku.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3.1: </w:t>
      </w:r>
      <w:r>
        <w:rPr>
          <w:color w:val="000000"/>
          <w:u w:color="000000"/>
        </w:rPr>
        <w:t xml:space="preserve">Tworzenie i modernizacja funkcjonalna przestrzeni publicznych wraz z działaniami na rzecz polepszenia środowiska, dostępności </w:t>
      </w:r>
      <w:r>
        <w:rPr>
          <w:color w:val="000000"/>
          <w:u w:color="000000"/>
        </w:rPr>
        <w:t>do mediów i poprawy ładu przestrzennego;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3.2: </w:t>
      </w:r>
      <w:r>
        <w:rPr>
          <w:color w:val="000000"/>
          <w:u w:color="000000"/>
        </w:rPr>
        <w:t xml:space="preserve">Budowa i modernizacja, w tym termomodernizacja obiektów użyteczności publicznej i budownictwa wielorodzinnego;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3.3: </w:t>
      </w:r>
      <w:r>
        <w:rPr>
          <w:color w:val="000000"/>
          <w:u w:color="000000"/>
        </w:rPr>
        <w:t xml:space="preserve">Budowa i modernizacja infrastruktury </w:t>
      </w:r>
      <w:r>
        <w:rPr>
          <w:color w:val="000000"/>
          <w:u w:color="000000"/>
        </w:rPr>
        <w:t>społeczno-kulturalnej, sportowo-rekreacyjnej i dziedzictwa narodowego;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3.4: </w:t>
      </w:r>
      <w:r>
        <w:rPr>
          <w:color w:val="000000"/>
          <w:u w:color="000000"/>
        </w:rPr>
        <w:t xml:space="preserve">Budowa i modernizacja infrastruktury drogowej, w tym pieszej </w:t>
      </w:r>
      <w:r>
        <w:rPr>
          <w:color w:val="000000"/>
          <w:u w:color="000000"/>
        </w:rPr>
        <w:br/>
        <w:t>i rowerowej;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► Kierunek działania 3.5: </w:t>
      </w:r>
      <w:r>
        <w:rPr>
          <w:color w:val="000000"/>
          <w:u w:color="000000"/>
        </w:rPr>
        <w:t xml:space="preserve">Poprawa dostępności do infrastruktury publicznej dla osób </w:t>
      </w:r>
      <w:r>
        <w:rPr>
          <w:color w:val="000000"/>
          <w:u w:color="000000"/>
        </w:rPr>
        <w:t>ze szczególnymi potrzebami.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b/>
          <w:color w:val="000000"/>
          <w:u w:color="000000"/>
        </w:rPr>
        <w:lastRenderedPageBreak/>
        <w:t>Tabela  - Cele i kierunki działań programu rewitalizacji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6669575" cy="6944694"/>
            <wp:effectExtent l="0" t="0" r="0" b="0"/>
            <wp:docPr id="100061" name="Obraz 10006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r:embed="rId66" r:link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9575" cy="694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b/>
          <w:color w:val="000000"/>
          <w:u w:color="000000"/>
        </w:rPr>
        <w:t>Opis przedsięwzięć rewitalizacyjnych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8.1.</w:t>
      </w:r>
      <w:r>
        <w:rPr>
          <w:b/>
          <w:color w:val="000000"/>
          <w:u w:color="000000"/>
        </w:rPr>
        <w:t>Lista planowanych podstawowych przedsięwzięć rewitalizacyjnych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Zgodnie z art. 15 ustawy o rewitalizacji z 9 października </w:t>
      </w:r>
      <w:r>
        <w:rPr>
          <w:color w:val="000000"/>
          <w:u w:color="000000"/>
        </w:rPr>
        <w:t>2015 r., Gminny Program Rewitalizacji powinien zawierać opis przedsięwzięć rewitalizacyjnych, służących realizacji celów rewitalizacji w szczególności o charakterze społecznym, gospodarczym, środowiskowym, przestrzenno-funkcjonalnym lub technicznym, w tym:</w:t>
      </w:r>
      <w:r>
        <w:rPr>
          <w:color w:val="000000"/>
          <w:u w:color="000000"/>
        </w:rPr>
        <w:t xml:space="preserve"> listę planowanych podstawowych przedsięwzięć rewitalizacyjnych oraz charakterystykę pozostałych dopuszczalnych przedsięwzięć rewitalizacyjnych.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Przedsięwzięcia uwzględnione w Gminnym Programie Rewitalizacji dla Miasta Piotrkowa Trybunalskiego na lata 2024</w:t>
      </w:r>
      <w:r>
        <w:rPr>
          <w:color w:val="000000"/>
          <w:u w:color="000000"/>
        </w:rPr>
        <w:t>-2030 zawierają zarówno zamierzenia sformułowane przez gminę i jej podległe jednostki, jak również inicjatywy oddolnie zgłoszone przez mieszkańców, podmioty prywatne i publiczne.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W celu wyłonienia przedsięwzięć rewitalizacyjnych przeprowadzono w ramach par</w:t>
      </w:r>
      <w:r>
        <w:rPr>
          <w:color w:val="000000"/>
          <w:u w:color="000000"/>
        </w:rPr>
        <w:t>tycypacji społecznej nabór propozycji w formie tzw. fiszek projektowych.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Zdecydowana większość z zgłoszonych w naborze fiszek projektowych, została uwzględniona w ramach przedsięwzięć podstawowych lub uzupełniających (pozostałych dopuszczalnych przedsięwzi</w:t>
      </w:r>
      <w:r>
        <w:rPr>
          <w:color w:val="000000"/>
          <w:u w:color="000000"/>
        </w:rPr>
        <w:t>ęć rewitalizacyjnych).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Nie brano pod uwagę jedynie przedsięwzięć, które zostały zdefiniowane w sposób niejasny, niekompletny, bądź nie miały bezpośredniego wpływu na realizację celów strategicznych</w:t>
      </w:r>
      <w:r>
        <w:rPr>
          <w:color w:val="000000"/>
          <w:u w:color="000000"/>
        </w:rPr>
        <w:br/>
        <w:t>i operacyjnych GPR. Tworząc listę przedsięwzięć wzięto rów</w:t>
      </w:r>
      <w:r>
        <w:rPr>
          <w:color w:val="000000"/>
          <w:u w:color="000000"/>
        </w:rPr>
        <w:t>nież pod uwagę wyniki wcześniejszych konsultacji społecznych, w tym ankiet wśród interesariuszy, spacerów badawczych.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zapisami ustawy o rewitalizacji, lista projektów podstawowych w odniesieniu do każdego przedsięwzięcia zawiera: nazwę, podmiot r</w:t>
      </w:r>
      <w:r>
        <w:rPr>
          <w:color w:val="000000"/>
          <w:u w:color="000000"/>
        </w:rPr>
        <w:t>ealizujący, zakres projektu, lokalizację, szacowaną wartość, prognozowane rezultaty wraz ze sposobem ich oceny w odniesieniu do celów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 zadania podstawowe uznano takie, dla których możliwe było podanie konkretnego zakresu, terminu realizacj</w:t>
      </w:r>
      <w:r>
        <w:rPr>
          <w:color w:val="000000"/>
          <w:u w:color="000000"/>
        </w:rPr>
        <w:t xml:space="preserve">i, wartości i źródła finansowania, ze szczególnym uwzględnieniem możliwości pozyskania funduszy zewnętrznych. Przedsięwzięcia podstawowe to kluczowe projekty rewitalizacyjne, które w najwyższym stopniu będą oferować kompleksowe rozwiązanie zdiagnozowanych </w:t>
      </w:r>
      <w:r>
        <w:rPr>
          <w:color w:val="000000"/>
          <w:u w:color="000000"/>
        </w:rPr>
        <w:t>problemów na obszarze rewitalizacji i w znaczący sposób wpłyną na osiągnięcie założonych celów strategicznych, celów operacyjnych i kierunków działań.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Lista podstawowych przedsięwzięć rewitalizacyjnych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8"/>
        <w:gridCol w:w="538"/>
        <w:gridCol w:w="347"/>
        <w:gridCol w:w="676"/>
        <w:gridCol w:w="1092"/>
        <w:gridCol w:w="243"/>
        <w:gridCol w:w="780"/>
        <w:gridCol w:w="52"/>
        <w:gridCol w:w="347"/>
        <w:gridCol w:w="1387"/>
        <w:gridCol w:w="243"/>
        <w:gridCol w:w="382"/>
        <w:gridCol w:w="104"/>
        <w:gridCol w:w="277"/>
        <w:gridCol w:w="867"/>
        <w:gridCol w:w="329"/>
        <w:gridCol w:w="1318"/>
        <w:gridCol w:w="572"/>
      </w:tblGrid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46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Piotrkowski Mikrogrant 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42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81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 1.3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Wspieranie działań na rzecz integracji społecznej oraz rozwoju inicjatyw i działań </w:t>
            </w:r>
            <w:r>
              <w:t>społeczno-kulturalnych w istniejącej lub nowej infrastrukturze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Słaba integracja międzyludzka oraz niezadawalająca współpraca instytucji publicznych z mieszkańcami</w:t>
            </w:r>
          </w:p>
        </w:tc>
      </w:tr>
      <w:tr w:rsidR="00A916A4">
        <w:trPr>
          <w:trHeight w:val="504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Słaba aktywność organizacji pozarządowych i brak ich wsparcia finansowego, lokalowego ze strony </w:t>
            </w:r>
          </w:p>
          <w:p w:rsidR="00A916A4" w:rsidRDefault="00EC7227">
            <w:pPr>
              <w:jc w:val="left"/>
            </w:pPr>
            <w:r>
              <w:t>Urzędu Miasta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11484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lastRenderedPageBreak/>
              <w:t xml:space="preserve">„Piotrkowski Mikrogrant” to ogólnomiejski program wsparcia oddolnych inicjatyw lokalnych. Piotrkowianie będą mogli </w:t>
            </w:r>
            <w:r>
              <w:t>realizować swoje pomysły na działania z zakresu animacji, aktywizacji społecznej, edukacji czy rekreacji dotyczące lokalnej społeczności. Mogą to być spotkania, warsztaty, kursy, szkolenia, projekty kulturalne, takie jak wystawy czy koncerty, ale też infra</w:t>
            </w:r>
            <w:r>
              <w:t>struktura, np. ławki, kosze na śmieci, czy nasadzenia roślin. Kwota projektu może wynosić nie mniej niż 500 zł i nie więcej niż 5 tys. zł. Ilość projektów – 10 przy każdej edycji. Przykładowe działania objęte wsparciem: a) inicjatywy sąsiedzkie integrujące</w:t>
            </w:r>
            <w:r>
              <w:t xml:space="preserve"> mieszkańców, np. pikniki sąsiedzkie; b) inicjatywy poprawiające estetykę obszaru – poprawa wizerunku podwórek, rozwój zielonej infrastruktury, tworzenie przyjaznych mini-przestrzeni, wspólnych ogródków; c) działania edukacyjne, np. inicjatywy wzmacniające</w:t>
            </w:r>
            <w:r>
              <w:t xml:space="preserve"> kompetencje w zakresie kompetencji społecznych; d) inicjatywy kulturalne – wzmacniające udział mieszkańców w życiu kulturalnym miasta; e) inicjatywy międzypokoleniowe włączające osoby w różnym wieku do wspólnego działania, uczenia się od siebie, wymiany m</w:t>
            </w:r>
            <w:r>
              <w:t>iędzypokoleniowej f) inne działania wzmacniające aktywność mieszkańców Oceną, podziałem pieniędzy oraz rozliczeniem wszystkich projektów może zająć się zewnętrzny operator i/lub komisja powołana przez Prezydenta Miasta Piotrkowa Trybunalskiego, w skład, kt</w:t>
            </w:r>
            <w:r>
              <w:t>órej wchodzić będą aktywni społecznie mieszkańcy miasta oraz osoby oddelegowane pracujące w Urzędzie Miasta. Edycja coroczna w całym horyzoncie czasowym GPR. Ilość możliwości i rodzajów projektów, które mogą być zgłaszane w ramach projektu „Piotrkowski Mik</w:t>
            </w:r>
            <w:r>
              <w:t>rogrant” jest właściwie nieograniczona i tym samym może być dedykowana dosłownie do wszystkich w tym do osób ze szczególnymi potrzebami, osób z niepełnosprawnościami czy osób społecznie wykluczonych. Należy zaznaczyć też, że projekty mogą być nastawione na</w:t>
            </w:r>
            <w:r>
              <w:t xml:space="preserve"> działania międzypokoleniowe, aktywizujące każdą grupę społeczną. Każdorazowo, przed ogłoszeniem konkursu prowadzone będą działania animacyjne, aktywizujące społeczności lokalne – animatorzy / animatorki będą pracować w przestrzeni miejskiej wyszukując akt</w:t>
            </w:r>
            <w:r>
              <w:t>ywne grupy, lokalnych liderów, osoby chętne do włączenia się w działania sąsiedzkie Realizacją projektu „Piotrkowski Mikrogrant” oceną, podziałem pieniędzy oraz rozliczeniem wszystkich projektów w ramach projektu „Piotrkowski Mikrogrant”, może zająć się ze</w:t>
            </w:r>
            <w:r>
              <w:t>wnętrzny operator (np. istniejące stowarzyszenie lub nowe stowarzyszenie otworzone na potrzeby tego projektu) lub komisja powołana przez Prezydenta Miasta Piotrkowa Trybunalskiego, w skład, której wchodzić będą aktywni społecznie mieszkańcy miasta oraz oso</w:t>
            </w:r>
            <w:r>
              <w:t>by oddelegowane pracujące w Urzędzie Miasta. Zakres rzeczowy wybranych do realizacji projektów będzie miał bardzo szerokie spektrum. Pomysłodawcy akcji już w fazie tworzenia GPR dysponują wieloma pomysłami, które mogłyby być realizowane w trakcie otwartego</w:t>
            </w:r>
            <w:r>
              <w:t xml:space="preserve"> i prowadzonego cyklicznie projektu. Wśród wielu ciekawych pomysłów, pojawiły się np.: - zorganizowanie konkursów na murale (np. promujące lokalne marki, wydarzenia historyczne itd.) - zorganizowanie akcję czyszczenia lub zamalowywania wulgarnych napisów o</w:t>
            </w:r>
            <w:r>
              <w:t>raz innych szpecących miasto - zorganizowanie różnego rodzaju warsztatów dla seniorów - montaż podjazdu dla osób z niepełnosprawnościami w jednym z obiektów użyteczności publicznej - zrobienie wizualizacji „czyszczenia” miasta z najmniej estetycznych rekla</w:t>
            </w:r>
            <w:r>
              <w:t>m w obrębie najładniejszych miejsc Piotrkowa Trybunalskiego - organizacja różnych wystaw historycznych - liczne akcje sprzątania i odświeżania obiektów użyteczności publicznej - liczne pomysły na pikniki sąsiedzkie itp. - akcje sadzenia drzew, krzewów i in</w:t>
            </w:r>
            <w:r>
              <w:t xml:space="preserve">nych roślin - „sąsiedzkie kina plenerowe” - organizowanie spotkań otwartych dla mieszkańców miasta z popularnymi osobami (komikami, kucharzami, działaczami społecznymi itd.) 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Szacunkowy koszt </w:t>
            </w:r>
            <w:r>
              <w:t>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949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miasto Piotrków Trybunalski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Partnerstwo Urzędu Miasta z organizacją pozarządową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385 000 (55 000/rok)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2024-2030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801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 xml:space="preserve">Liczba </w:t>
            </w:r>
            <w:r>
              <w:t>przeprowadzonych kampanii obywatelskich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szt. 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Sprawozdanie realizatora projektu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821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projektów/inicjatyw obywatelskich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szt./rok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Sprawozdanie realizatora projektu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Źródła </w:t>
            </w:r>
            <w:r>
              <w:t>finansowania projektu</w:t>
            </w:r>
          </w:p>
        </w:tc>
      </w:tr>
      <w:tr w:rsidR="00A916A4">
        <w:trPr>
          <w:trHeight w:val="96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829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A2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T; Ś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Przebudowa wraz z termomodernizacją budynku wielorodzinnego przy ul Jerozolimskiej 12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961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Dostosowanie infrastruktury publicznej do potrzeb mieszkańców, w tym wykluczonych i ze szczególnymi potrzebami oraz poprawa środowiska naturalnego i 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Kierunki działań w ramach celu </w:t>
            </w:r>
            <w:r>
              <w:t>strategicznego</w:t>
            </w:r>
          </w:p>
        </w:tc>
      </w:tr>
      <w:tr w:rsidR="00A916A4">
        <w:trPr>
          <w:trHeight w:val="76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Tworzenie i modernizacja funkcjonalna przestrzeni publicznych wraz z działaniami na rzecz polepszenia środowiska, dostępności do mediów i poprawy ładu przestrzennego</w:t>
            </w:r>
          </w:p>
        </w:tc>
      </w:tr>
      <w:tr w:rsidR="00A916A4">
        <w:trPr>
          <w:trHeight w:val="70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Budowa i modernizacja, w tym termomodernizacja obiektów </w:t>
            </w:r>
            <w:r>
              <w:t>użyteczności publicznej i budownictwa wielorodzinnego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Niedobór/zły stan gminnych zasobów mieszkaniowych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Wysoki poziom zanieczyszczenia powietrza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3540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Potrzeba poprawy estetyki budynku i </w:t>
            </w:r>
            <w:r>
              <w:t>okolicy oraz zły stan techniczny budynku powodują konieczność przeprowadzenia projektowanych prac. Nieruchomość stanowi własność miasta Piotrków Trybunalski. Planowane jest: przywrócenie wysokiego dla staromiejskiej zabudowy wysokiego standardu architekton</w:t>
            </w:r>
            <w:r>
              <w:t>icznego budynku, w tym elewacji oraz głęboka termomodernizacja budynku mieszkalnego (wymiana stolarki okiennej i drzwiowej, wymiana dachu, przebudowa klatek schodowych, dobudowa nowej klatki schodowej, przebudowa lokali mieszkalnych wraz z wymianą instalac</w:t>
            </w:r>
            <w:r>
              <w:t>ji wewnętrznych i urządzeń, wzmocnieniem stropów, podłączenie do miejskiej sieci cieplnej Nieocieplone ściany zewnętrzne charakteryzują się dużymi stratami cieplnymi w okresie grzewczym oraz brakiem ochrony przed wysokimi temperaturami w okresie letnim. Ma</w:t>
            </w:r>
            <w:r>
              <w:t>jąc na uwadze ochronę środowiska oraz zdrowie mieszkańców obszaru konieczna jest zamiana przenośnych pieców węglowych w lokalach mieszkalnych na ogrzewanie z sieci miejskiej. Projekt realizować będzie Towarzystwo Budownictwa Społecznego sp. z o.o. w Piotrk</w:t>
            </w:r>
            <w:r>
              <w:t>owie Trybunalskim, które od wielu lat realizuje podobne przedsięwzięcia jako inwestor zastępczy Miasta.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131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lastRenderedPageBreak/>
              <w:t>JS</w:t>
            </w:r>
            <w:r>
              <w:t xml:space="preserve">1 - ul. Jerozolimska 12 dz. nr 106201_1.0021.203. z oddziaływaniem na cały obszar rewitalizacji. 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Towarzystwo Budownictwa Społecznego sp. z o.o. w Piotrkowie Trybunalskim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7 000 000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2024 - 2029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241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767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zmodernizowanych energetycznie budynków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Źródło </w:t>
            </w:r>
            <w:r>
              <w:t>danych</w:t>
            </w:r>
          </w:p>
        </w:tc>
      </w:tr>
      <w:tr w:rsidR="00A916A4">
        <w:trPr>
          <w:trHeight w:val="420"/>
        </w:trPr>
        <w:tc>
          <w:tcPr>
            <w:tcW w:w="4275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Szacowana emisja gazów</w:t>
            </w:r>
            <w:r>
              <w:rPr>
                <w:color w:val="000000"/>
                <w:u w:color="000000"/>
              </w:rPr>
              <w:br/>
              <w:t>cieplarnianych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ton CO2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bazowy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70,0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Faktury za faktyczne zużycie energii, odczyty na podstawie urządzeń pomiarowych</w:t>
            </w:r>
          </w:p>
        </w:tc>
      </w:tr>
      <w:tr w:rsidR="00A916A4">
        <w:trPr>
          <w:trHeight w:val="1170"/>
        </w:trPr>
        <w:tc>
          <w:tcPr>
            <w:tcW w:w="4275" w:type="dxa"/>
            <w:gridSpan w:val="9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18"/>
              </w:rPr>
              <w:t>docelowy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25,0</w:t>
            </w:r>
          </w:p>
        </w:tc>
        <w:tc>
          <w:tcPr>
            <w:tcW w:w="1920" w:type="dxa"/>
            <w:gridSpan w:val="3"/>
            <w:vMerge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2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</w:t>
            </w:r>
            <w:r>
              <w:rPr>
                <w:sz w:val="20"/>
              </w:rPr>
              <w:t xml:space="preserve">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6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A3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T; Ś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Przebudowa wraz z termomodernizacją budynku wielorodzinnego przy Placu Niepodległości 5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91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</w:t>
            </w:r>
            <w:r>
              <w:t>mieszkańców, w tym wykluczonych i ze szczególnymi potrzebami oraz poprawa środowiska naturalnego i 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51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Tworzenie i modernizacja funkcjonalna przestrzeni publicznych </w:t>
            </w:r>
            <w:r>
              <w:t>wraz z działaniami na rzecz polepszenia środowiska, dostępności do mediów i poprawy ładu przestrzennego</w:t>
            </w:r>
          </w:p>
        </w:tc>
      </w:tr>
      <w:tr w:rsidR="00A916A4">
        <w:trPr>
          <w:trHeight w:val="67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Budowa i modernizacja, w tym termomodernizacja obiektów użyteczności publicznej i budownictwa wielorodzinnego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Opis problemu, jaki ma rozwiązać </w:t>
            </w:r>
            <w:r>
              <w:t>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Niedobór/zły stan gminnych zasobów mieszkaniowych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Wysoki poziom zanieczyszczenia powietrza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3684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lastRenderedPageBreak/>
              <w:t xml:space="preserve">Potrzeba poprawy estetyki budynku i okolicy oraz zły stan techniczny budynku powodują konieczność przeprowadzenia </w:t>
            </w:r>
            <w:r>
              <w:t>projektowanych prac. Nieruchomość stanowi własność miasta Piotrków Trybunalski. Planowane jest: przywrócenie wysokiego dla staromiejskiej zabudowy wysokiego standardu architektonicznego budynku, w tym elewacji oraz głęboka termomodernizacja budynku mieszka</w:t>
            </w:r>
            <w:r>
              <w:t>lnego (wymiana stolarki okiennej i drzwiowej, wymiana dachu, przebudowa klatek schodowych, modernizacja podwórza, przebudowa lokali mieszkalnych wraz z wymianą instalacji wewnętrznych i urządzeń, wzmocnieniem stropów, wymiana źródeł ciepła w lokalach miesz</w:t>
            </w:r>
            <w:r>
              <w:t>kalnych z pieców węglowych na centralne ogrzewanie gazowe. O złym stanie technicznym budynku świadczą m.in: zawilgocone mury ceglane i ugięte, drewniane stropy budynku Nieocieplone ściany zewnętrzne charakteryzują się dużymi stratami cieplnymi w okresie gr</w:t>
            </w:r>
            <w:r>
              <w:t>zewczym oraz brakiem ochrony przed wysokimi temperaturami w okresie letnim. Mając na uwadze ochronę środowiska oraz zdrowie mieszkańców obszaru konieczna jest likwidacja wysokoemisyjnych pieców węglowych. Projekt realizować będzie Towarzystwo Budownictwa S</w:t>
            </w:r>
            <w:r>
              <w:t>połecznego sp. z o.o. w Piotrkowie Trybunalskim, które od wielu lat realizuje podobne przedsięwzięcia jako inwestor zastępczy Miasta.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</w:t>
            </w:r>
            <w:r>
              <w:t xml:space="preserve"> [rok od-do]</w:t>
            </w:r>
          </w:p>
        </w:tc>
      </w:tr>
      <w:tr w:rsidR="00A916A4">
        <w:trPr>
          <w:trHeight w:val="1104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>JS1</w:t>
            </w:r>
            <w:r>
              <w:rPr>
                <w:color w:val="000000"/>
                <w:u w:color="000000"/>
              </w:rPr>
              <w:t xml:space="preserve"> - Plac Niepodległości 5; 106201_1.0021.158/2</w:t>
            </w:r>
            <w:r>
              <w:rPr>
                <w:color w:val="000000"/>
                <w:u w:color="000000"/>
              </w:rPr>
              <w:br/>
              <w:t>106201_1.0021.164. z oddziaływaniem na cały or.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Towarzystwo Budownictwa Społecznego sp. z o.o. w Piotrkowie Trybunalskim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2 000 000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2024-2029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Wartość </w:t>
            </w:r>
            <w:r>
              <w:t>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20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zmodernizowanych energetycznie budynków 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456"/>
        </w:trPr>
        <w:tc>
          <w:tcPr>
            <w:tcW w:w="4275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Szacowana emisja gazów</w:t>
            </w:r>
            <w:r>
              <w:rPr>
                <w:color w:val="000000"/>
                <w:u w:color="000000"/>
              </w:rPr>
              <w:br/>
              <w:t>cieplarnianych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ton CO2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bazowy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right"/>
              <w:rPr>
                <w:color w:val="000000"/>
                <w:u w:color="000000"/>
              </w:rPr>
            </w:pPr>
            <w:r>
              <w:t>55,0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Faktury za faktyczne zużycie energii, odczyty na podstawie urządzeń pomiarowych</w:t>
            </w:r>
          </w:p>
        </w:tc>
      </w:tr>
      <w:tr w:rsidR="00A916A4">
        <w:trPr>
          <w:trHeight w:val="468"/>
        </w:trPr>
        <w:tc>
          <w:tcPr>
            <w:tcW w:w="4275" w:type="dxa"/>
            <w:gridSpan w:val="9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docelowy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right"/>
              <w:rPr>
                <w:color w:val="000000"/>
                <w:u w:color="000000"/>
              </w:rPr>
            </w:pPr>
            <w:r>
              <w:t>20,0</w:t>
            </w:r>
          </w:p>
        </w:tc>
        <w:tc>
          <w:tcPr>
            <w:tcW w:w="1920" w:type="dxa"/>
            <w:gridSpan w:val="3"/>
            <w:vMerge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righ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2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46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A4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Przebudowa infrastruktury drogowej ul. Wspólnej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43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90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</w:t>
            </w:r>
            <w:r>
              <w:t>infrastruktury publicznej do potrzeb mieszkańców, w tym wykluczonych i ze szczególnymi potrzebami oraz poprawa środowiska naturalnego i 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607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 xml:space="preserve"> 1.4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Zwiększenie poziomu </w:t>
            </w:r>
            <w:r>
              <w:t>bezpieczeństwa na obszarze rewitalizacji</w:t>
            </w:r>
          </w:p>
        </w:tc>
      </w:tr>
      <w:tr w:rsidR="00A916A4">
        <w:trPr>
          <w:trHeight w:val="54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3.4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Budowa i modernizacja infrastruktury drogowej, w tym pieszej i rowerowej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Niski poziom bezpieczeństwa publicznego, </w:t>
            </w:r>
          </w:p>
        </w:tc>
      </w:tr>
      <w:tr w:rsidR="00A916A4">
        <w:trPr>
          <w:trHeight w:val="498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Niedobór bezpiecznej infrastruktury drogowej, w </w:t>
            </w:r>
            <w:r>
              <w:t>tym pieszej i rowerowej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1527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Ulica Wspólna. Ulica jest w złym stanie technicznym, jest to ostania ulica na Podzamczu wymagająca przebudowy oraz uzupełnienia infrastruktury technicznej. Projekt dotyczy wymiany nawierzchni jezdni wraz z chodnikiem, przebudową wodociągu wraz z kanalizacj</w:t>
            </w:r>
            <w:r>
              <w:t xml:space="preserve">ą sanitarną i budową kanalizacji deszczowej oraz przebudową linii energetycznej 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696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JS1 - ul Wspólna, Dz. Nr 147, obr. 21 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Urząd Miasta Piotrków Trybunalski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1 100 000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2024-2027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Długość zmodernizowanych lub przebudowanych dróg gminnych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km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0,09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960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Roczna liczba użytkowników nowo wybudowanych, przebudowanych, rozbudowanych lub zmodernizowanych dróg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6 500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Dane demograficzne i statystyczne Urzędu Miasta Piotrkowa Trybunalskiego 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4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64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A5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T;Ś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Przebudowa wraz z termomodernizacją budynków wielorodzinnych na ul Wojska Polskiego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90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Dostosowanie infrastruktury publicznej do potrzeb mieszkańców, w tym wykluczonych i ze szczególnymi potrzebami oraz poprawa środowiska naturalnego i 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78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Tworzenie </w:t>
            </w:r>
            <w:r>
              <w:t>i modernizacja funkcjonalna przestrzeni publicznych wraz z działaniami na rzecz polepszenia środowiska, dostępności do mediów i poprawy ładu przestrzennego</w:t>
            </w:r>
          </w:p>
        </w:tc>
      </w:tr>
      <w:tr w:rsidR="00A916A4">
        <w:trPr>
          <w:trHeight w:val="73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Budowa i modernizacja, w tym termomodernizacja obiektów użyteczności publicznej i budownictwa </w:t>
            </w:r>
            <w:r>
              <w:t>wielorodzinnego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Niedobór/zły stan gminnych zasobów mieszkaniowych</w:t>
            </w:r>
          </w:p>
        </w:tc>
      </w:tr>
      <w:tr w:rsidR="00A916A4">
        <w:trPr>
          <w:trHeight w:val="404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Wysoki poziom zanieczyszczenia powietrza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2634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Potrzeba poprawy estetyki budynków i okolicy oraz ich zły stan techniczny </w:t>
            </w:r>
            <w:r>
              <w:t>stanowią potrzebę przeprowadzenia projektowanych prac modernizacyjnych. Nieruchomości stanowią własność miasta Piotrków Trybunalski. Planowane jest: przywrócenie standardu architektonicznego budynku, w tym elewacji oraz głęboka termomodernizacja budynku mi</w:t>
            </w:r>
            <w:r>
              <w:t xml:space="preserve">eszkalnego ( wymiana stolarki okiennej i drzwiowej, wymiana/ocieplenie dachu, ocieplenie ścian zewnętrznych), przebudowa klatek schodowych oraz inne prace dostosowujące budynki do realizacji współczesnych standardów mieszkalnictwa wielorodzinnego. Projekt </w:t>
            </w:r>
            <w:r>
              <w:t>realizować będzie Towarzystwo Budownictwa Społecznego sp. z o.o. w Piotrkowie Trybunalskim, które od wielu lat realizuje podobne przedsięwzięcia jako inwestor zastępczy Miasta</w:t>
            </w:r>
            <w:r>
              <w:rPr>
                <w:sz w:val="20"/>
              </w:rPr>
              <w:t>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</w:t>
            </w:r>
            <w:r>
              <w:t>ktu netto[zł]]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1500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JS1</w:t>
            </w:r>
            <w:r>
              <w:t>- ul. Wojska Polskiego nr,nr:33 (dz. 106201_1.0021.13), 50 dz. nr. 106201_1.0022.99/1), 73 (dz. 106201_1.0022.11), z oddziaływaniem na cały or</w:t>
            </w:r>
            <w:r>
              <w:rPr>
                <w:sz w:val="18"/>
              </w:rPr>
              <w:t>.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Towarzystwo Budownictwa Społecznego sp. z o.o. w Piotrkowie Trybunalskim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8 500 000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2024-2029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6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Protokoły odbioru robót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zmodernizowanych energetycznie budynków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456"/>
        </w:trPr>
        <w:tc>
          <w:tcPr>
            <w:tcW w:w="4275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Szacowana emisja gazów</w:t>
            </w:r>
            <w:r>
              <w:rPr>
                <w:color w:val="000000"/>
                <w:u w:color="000000"/>
              </w:rPr>
              <w:br/>
              <w:t>cieplarnianych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ton CO2</w:t>
            </w:r>
          </w:p>
        </w:tc>
        <w:tc>
          <w:tcPr>
            <w:tcW w:w="66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bazowy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right"/>
              <w:rPr>
                <w:color w:val="000000"/>
                <w:u w:color="000000"/>
              </w:rPr>
            </w:pPr>
            <w:r>
              <w:t>135,0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Faktury za faktyczne zużycie energii, </w:t>
            </w:r>
            <w:r>
              <w:t>odczyty na podstawie urządzeń pomiarowych</w:t>
            </w:r>
          </w:p>
        </w:tc>
      </w:tr>
      <w:tr w:rsidR="00A916A4">
        <w:trPr>
          <w:trHeight w:val="456"/>
        </w:trPr>
        <w:tc>
          <w:tcPr>
            <w:tcW w:w="4275" w:type="dxa"/>
            <w:gridSpan w:val="9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660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18"/>
              </w:rPr>
              <w:t>docelowy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right"/>
              <w:rPr>
                <w:color w:val="000000"/>
                <w:u w:color="000000"/>
              </w:rPr>
            </w:pPr>
            <w:r>
              <w:t>70,0</w:t>
            </w:r>
          </w:p>
        </w:tc>
        <w:tc>
          <w:tcPr>
            <w:tcW w:w="1920" w:type="dxa"/>
            <w:gridSpan w:val="3"/>
            <w:vMerge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righ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2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791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A6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color w:val="000000"/>
                <w:sz w:val="24"/>
                <w:u w:color="000000"/>
              </w:rPr>
              <w:t xml:space="preserve">Rozwój budownictwa wielorodzinnego </w:t>
            </w:r>
            <w:r>
              <w:rPr>
                <w:b/>
                <w:color w:val="000000"/>
                <w:sz w:val="24"/>
                <w:u w:color="000000"/>
              </w:rPr>
              <w:br/>
              <w:t>na ul. Wojska Polskiego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963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wykluczonych i ze szczególnymi potrzebami oraz poprawa środowiska naturalnego i ładu przestrzennego </w:t>
            </w:r>
            <w:r>
              <w:t>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Kierunki działań w ramach celu strategicznego</w:t>
            </w:r>
          </w:p>
        </w:tc>
      </w:tr>
      <w:tr w:rsidR="00A916A4">
        <w:trPr>
          <w:trHeight w:val="82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Budowa i modernizacja, w tym termomodernizacja obiektów użyteczności publicznej i budownictwa wielorodzinnego</w:t>
            </w:r>
          </w:p>
        </w:tc>
      </w:tr>
      <w:tr w:rsidR="00A916A4">
        <w:trPr>
          <w:trHeight w:val="703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3.5 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Poprawa dostępności do infrastruktury publicznej dla osób ze </w:t>
            </w:r>
            <w:r>
              <w:t>szczególnymi 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Niedobór/zły stan gminnych zasobów mieszkaniowych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Wysoki poziom zanieczyszczenia powietrza</w:t>
            </w:r>
          </w:p>
        </w:tc>
      </w:tr>
      <w:tr w:rsidR="00A916A4">
        <w:trPr>
          <w:trHeight w:val="447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Niedostateczna dostępność do infrastruktury publicznej dla osób ze szczególnymi 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</w:t>
            </w:r>
            <w:r>
              <w:t xml:space="preserve"> projektowanych działań</w:t>
            </w:r>
          </w:p>
        </w:tc>
      </w:tr>
      <w:tr w:rsidR="00A916A4">
        <w:trPr>
          <w:trHeight w:val="2127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Projekt stanowi odpowiedź na zdiagnozowane problemy: niedoboru dostępnej finansowo dla mieszkańców infrastruktury komunalnych mieszkań wielorodzinnych, spełniających współczesne standardy energetyczne i estetyczne, przez co przyczy</w:t>
            </w:r>
            <w:r>
              <w:t>ni się do poprawy stanu powietrza oraz ładu przestrzennego w obszarze rewitalizacji. Projektowana infrastruktura zawierać będzie mieszkania (ok 25) na wynajem dla mieszkańców o niskich dochodach. Komunikacja zewnątrz i wewnątrz budynku dostosowana będzie d</w:t>
            </w:r>
            <w:r>
              <w:t>la osób ze specjalnymi potrzebami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1044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JS1</w:t>
            </w:r>
            <w:r>
              <w:t xml:space="preserve"> - ul. Wojska Polskiego 29A (dz: 15/1;15/2;15/3;15/4;15/5;15/6;15/7 ;15/9;15/10)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Miasto Piotrków Trybunalski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10 000 000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2025-2026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20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6 577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demograficzne i statystyczne Urzędu</w:t>
            </w:r>
            <w:r>
              <w:t xml:space="preserve"> Miasta Piotrków Trybunalski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4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733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A7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FP; Ś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"Placemaking" Wyzwolenia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Cel strategiczny </w:t>
            </w:r>
            <w:r>
              <w:t>GPR</w:t>
            </w:r>
          </w:p>
        </w:tc>
      </w:tr>
      <w:tr w:rsidR="00A916A4">
        <w:trPr>
          <w:trHeight w:val="961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lastRenderedPageBreak/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Dostosowanie infrastruktury publicznej do potrzeb mieszkańców, w tym wykluczonych i ze szczególnymi potrzebami oraz poprawa środowiska naturalnego i 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965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Tworzenie i modernizacja funkcjonalna przestrzeni publicznych wraz z działaniami na rzecz polepszenia środowiska, dostępności do mediów i poprawy ładu przestrzennego</w:t>
            </w:r>
          </w:p>
        </w:tc>
      </w:tr>
      <w:tr w:rsidR="00A916A4">
        <w:trPr>
          <w:trHeight w:val="99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3.5 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Poprawa dostępności do infrastruktury publicznej dla osób ze szczególnymi </w:t>
            </w:r>
            <w:r>
              <w:t>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Niedobór zagospodarowanej przestrzeni publicznej służącej aktywności społeczno-kulturalnej oraz  integracji mieszkańców, w tym zielonej architektury i rekreacyjno-sportowej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Niedostateczna dostępność do</w:t>
            </w:r>
            <w:r>
              <w:t xml:space="preserve"> infrastruktury publicznej dla osób ze szczególnymi potrzebami</w:t>
            </w:r>
          </w:p>
        </w:tc>
      </w:tr>
      <w:tr w:rsidR="00A916A4">
        <w:trPr>
          <w:trHeight w:val="438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Niska estetyka przestrzeni publicznych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1380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 xml:space="preserve">Idea placemakingu wywodzi się z przekonania, że wartość miejsca jest konstruowana w procesie interakcji społecznych. </w:t>
            </w:r>
            <w:r>
              <w:rPr>
                <w:color w:val="000000"/>
                <w:u w:color="000000"/>
              </w:rPr>
              <w:t>Miejsce to uczłowieczona przestrzeń, mająca swoją nazwę, odróżniająca się od innych zarówno przez swoją materialność, jak i aspekty niematerialne.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Placemaking może zostać wykorzystany nie tylko w celu zmiany wyglądu miejsca ale również przekształcenia miej</w:t>
            </w:r>
            <w:r>
              <w:rPr>
                <w:color w:val="000000"/>
                <w:u w:color="000000"/>
              </w:rPr>
              <w:t>sc w bardziej użyteczne i przyjazne mieszkańcom (na przykład służące odpoczynkowi, organizacji spotkań), nadania przestrzeni bardziej wszechstronnego charakteru.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Tak więc placemaking to nadawanie niedocenianym wcześniej miejscom nowej wartości. Tchnięcie ż</w:t>
            </w:r>
            <w:r>
              <w:rPr>
                <w:color w:val="000000"/>
                <w:u w:color="000000"/>
              </w:rPr>
              <w:t>ycia w zobojętniałą i niezorganizowaną przestrzeń.</w:t>
            </w:r>
          </w:p>
          <w:p w:rsidR="00A77B3E" w:rsidRDefault="00EC7227">
            <w:pPr>
              <w:spacing w:before="24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 xml:space="preserve">Włączenie społeczności lokalnej w proces projektowania oraz uznanie jej sprawczości pozwoli trafniej zdiagnozować najważniejsze problemy i pomoże znaleźć ich rozwiązanie. Jako lokalną społeczność należy </w:t>
            </w:r>
            <w:r>
              <w:rPr>
                <w:color w:val="000000"/>
                <w:u w:color="000000"/>
              </w:rPr>
              <w:t>rozumieć nie tylko mieszkańców danej przestrzeni, którzy siłą rzeczy wiedzą o niej najwięcej, ale również wszystkich zainteresowanych danym miejscem, na przykład osoby prowadzące działalność gospodarczą w okolicy czy korzystające z obiektów i instytucji le</w:t>
            </w:r>
            <w:r>
              <w:rPr>
                <w:color w:val="000000"/>
                <w:u w:color="000000"/>
              </w:rPr>
              <w:t>żących w pobliżu.</w:t>
            </w:r>
          </w:p>
          <w:p w:rsidR="00A77B3E" w:rsidRDefault="00EC7227">
            <w:pPr>
              <w:spacing w:before="24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 xml:space="preserve">Ideą projektu jest stworzenie modelowego przykładu przywrócenia wartości zdegradowanej tkanki miejskiej z jednoczesnym umocnieniem więzi społecznych. Propozycja zakłada wykreowanie nowych przestrzeni podkreślających szacunek do lokalnych </w:t>
            </w:r>
            <w:r>
              <w:rPr>
                <w:color w:val="000000"/>
                <w:u w:color="000000"/>
              </w:rPr>
              <w:t>wartości — przywrócenie prymatu stref wspólnych na przykład poprzez tworzenie przyjaznych środowisku i ludziom w różnym wieku uwzględnieniem osób niepełnosprawnych edukacyjnych przestrzeni pozwalających na integracje międzypokoleniowe.</w:t>
            </w:r>
          </w:p>
          <w:p w:rsidR="00A77B3E" w:rsidRDefault="00EC7227">
            <w:pPr>
              <w:spacing w:before="24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Modernizowana infras</w:t>
            </w:r>
            <w:r>
              <w:rPr>
                <w:color w:val="000000"/>
                <w:u w:color="000000"/>
              </w:rPr>
              <w:t>truktura charakteryzuje się dużym zdegradowaniem obszarów środowiskowych, funkcjonalno-użytkowych i technicznych szczególnie widocznych w mocno zurbanizowanych terenach w których występują duże problemy społeczne.</w:t>
            </w:r>
          </w:p>
          <w:p w:rsidR="00A77B3E" w:rsidRDefault="00EC7227">
            <w:pPr>
              <w:spacing w:before="24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W ramach projektu przewiduje się rewitaliz</w:t>
            </w:r>
            <w:r>
              <w:rPr>
                <w:color w:val="000000"/>
                <w:u w:color="000000"/>
              </w:rPr>
              <w:t>ację obszarów miejskich poprzez powstrzymanie silnych zjawisk depopulacyjnych oraz polepszenie jakości życia i uatrakcyjnienie możliwości aktywizacji społecznej mieszkańców połączonej z poprawą wizerunku i atrakcyjnością osadniczą obszaru w sferze technicz</w:t>
            </w:r>
            <w:r>
              <w:rPr>
                <w:color w:val="000000"/>
                <w:u w:color="000000"/>
              </w:rPr>
              <w:t>nej, przestrzennej i środowiskowej.</w:t>
            </w:r>
          </w:p>
          <w:p w:rsidR="00A77B3E" w:rsidRDefault="00EC7227">
            <w:pPr>
              <w:spacing w:before="24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Przewidywane prace związane z nasadzeniami oraz oświetleniem energooszczędnym wpłyną pozytywnie na polepszenie jakości powietrza w bezpośrednim otoczeniu mieszkańców oddziałując pozytywnie na całą jednostkę strukturalną.</w:t>
            </w:r>
            <w:r>
              <w:rPr>
                <w:color w:val="000000"/>
                <w:u w:color="000000"/>
              </w:rPr>
              <w:t xml:space="preserve"> Jednocześnie przewidywane prace związane z utwardzeniem terenów oraz wykonaniem małej architektury rozwiążą problemy techniczne związane z licznymi przestrzeniami nieużytkowymi oraz problemami funkcjonalno-przestrzennymi takimi jak poprawa infrastruktury </w:t>
            </w:r>
            <w:r>
              <w:rPr>
                <w:color w:val="000000"/>
                <w:u w:color="000000"/>
              </w:rPr>
              <w:t>publicznej, aktywizując i integrując mieszkańców w tym osoby ze specjalnymi potrzebami.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Główne planowane działania realizowane będą w ramach zadań polegających na: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lastRenderedPageBreak/>
              <w:t>1. przygotowaniu dokumentacji projektowej,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2. wyłonieniu wykonawców realizujących pracę budo</w:t>
            </w:r>
            <w:r>
              <w:rPr>
                <w:color w:val="000000"/>
                <w:u w:color="000000"/>
              </w:rPr>
              <w:t>wlane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3. monitorowaniu aktywności społeczno-kulturalnej na rewitalizowanym obszarze.</w:t>
            </w:r>
          </w:p>
          <w:p w:rsidR="00A77B3E" w:rsidRDefault="00EC7227">
            <w:pPr>
              <w:spacing w:before="24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Do zakresu rzeczowego projektu obejmującego rewitalizowaną przestrzeń wliczamy: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1.Remonty i utworzenie nowych utwardzeń terenu z uwzględnieniem potrzeb osób niepełnosprawn</w:t>
            </w:r>
            <w:r>
              <w:rPr>
                <w:color w:val="000000"/>
                <w:u w:color="000000"/>
              </w:rPr>
              <w:t>ych.</w:t>
            </w:r>
            <w:r>
              <w:rPr>
                <w:color w:val="000000"/>
                <w:u w:color="000000"/>
              </w:rPr>
              <w:br/>
              <w:t>2. Wymianę starego i wykonanie nowego oświetlenia energooszczędnego wraz z montażem monitoringu.</w:t>
            </w:r>
          </w:p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3. Wykonanie pielęgnacji istniejącego drzewostanu oraz wykonanie nowych nasadzeń i zieleni.</w:t>
            </w:r>
            <w:r>
              <w:rPr>
                <w:color w:val="000000"/>
                <w:u w:color="000000"/>
              </w:rPr>
              <w:br/>
              <w:t>4. Montaż małej architektury w tym obiektów o charakterze eduk</w:t>
            </w:r>
            <w:r>
              <w:rPr>
                <w:color w:val="000000"/>
                <w:u w:color="000000"/>
              </w:rPr>
              <w:t>acyjnym lub kulturalnym.</w:t>
            </w:r>
            <w:r>
              <w:rPr>
                <w:color w:val="000000"/>
                <w:u w:color="000000"/>
              </w:rPr>
              <w:br/>
              <w:t>5. Likwidacja barier architektonicznych poprzez dostosowanie się do aktualnych przepisów prawa w tym odpowiednie oznakowanie i użycie materiałów budowlanych dedykowanych osobom ze szczególnymi potrzebami.</w:t>
            </w:r>
          </w:p>
          <w:p w:rsidR="00A77B3E" w:rsidRDefault="00EC7227">
            <w:pPr>
              <w:spacing w:before="24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W ramach projektu podmiote</w:t>
            </w:r>
            <w:r>
              <w:rPr>
                <w:color w:val="000000"/>
                <w:u w:color="000000"/>
              </w:rPr>
              <w:t>m odpowiedzialnym za realizację projektu w tym kierowanie i koordynowanie będzie zarządca nieruchomości – Piotrkowska Spółdzielnia Mieszkaniowa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lastRenderedPageBreak/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Szacunkowy koszt projektu netto[zł]]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Orientacyjny okres</w:t>
            </w:r>
            <w:r>
              <w:t xml:space="preserve"> realizacji [rok od-do]</w:t>
            </w:r>
          </w:p>
        </w:tc>
      </w:tr>
      <w:tr w:rsidR="00A916A4">
        <w:trPr>
          <w:trHeight w:val="3120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JS13</w:t>
            </w:r>
            <w:r>
              <w:rPr>
                <w:sz w:val="20"/>
              </w:rPr>
              <w:t xml:space="preserve"> - Garbarska bl.2 nr 26/28, dz. 144/13; Garbarska bl.3 nr 30, dz. 144/14; Garbarska bl.4 nr 17/19, dz. 148/3; Garbarska bl. 5 nr 21, dz. 148/9; Garbarska bl.6 nr 23/25, dz. 148/9; Wyzwolenia bl.7 nr 12/14, dz. 73/2; Wyzwolenia </w:t>
            </w:r>
            <w:r>
              <w:rPr>
                <w:sz w:val="20"/>
              </w:rPr>
              <w:t>bl. 8 nr 8/10, dz. 73/3; Bugajska bl.9 nr 16/20, dz. 73/4; Bugajska bl.10 nr 13, dz. 103/15; Sulejowska bl. 11 nr 13/15, dz. 103/17; Wyzwolenia bl. 12 nr 2/4, dz. 103/19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Piotrkowska Spółdzielnia Mieszkaniowa w Piotrkowie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5 500 000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2025-2029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 xml:space="preserve">Produkty </w:t>
            </w:r>
            <w:r>
              <w:t>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9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Otwarta przestrzeń́ utworzona lub rekultywowana na obszarach miejskich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ha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0,6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9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Liczba wspartych obiektów infrastruktury (innych niż budynki mieszkalne) zlokalizowanych na</w:t>
            </w:r>
            <w:r>
              <w:t xml:space="preserve"> rewitalizowanych obszarach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11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9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11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9 719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Dane demograficzne i statystyczne Urzędu Miasta Piotrkowa Trybunalskiego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lastRenderedPageBreak/>
              <w:t>Źródła finansowania projektu</w:t>
            </w:r>
          </w:p>
        </w:tc>
      </w:tr>
      <w:tr w:rsidR="00A916A4">
        <w:trPr>
          <w:trHeight w:val="102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/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843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A8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/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color w:val="000000"/>
                <w:sz w:val="24"/>
                <w:u w:color="000000"/>
              </w:rPr>
              <w:t xml:space="preserve">Odnowa komunalnej substancji mieszkaniowej </w:t>
            </w:r>
            <w:r>
              <w:rPr>
                <w:b/>
                <w:color w:val="000000"/>
                <w:sz w:val="24"/>
                <w:u w:color="000000"/>
              </w:rPr>
              <w:br/>
              <w:t>Starego Miasta - Grodzka 1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110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wykluczonych i ze szczególnymi potrzebami oraz poprawa środowiska naturalnego i ładu </w:t>
            </w:r>
            <w:r>
              <w:t>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50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Budowa i modernizacja, w tym termomodernizacja obiektów użyteczności publicznej i budownictwa wielorodzinnego</w:t>
            </w:r>
          </w:p>
        </w:tc>
      </w:tr>
      <w:tr w:rsidR="00A916A4">
        <w:trPr>
          <w:trHeight w:val="50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3.5 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Poprawa dostępności do infrastruktury publicznej </w:t>
            </w:r>
            <w:r>
              <w:t>dla osób ze szczególnymi 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Niedobór/zły stan gminnych zasobów mieszkaniowych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Niedostateczna dostępność do infrastruktury publicznej dla osób ze szczególnymi potrzebami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Degradacja infrastruktury </w:t>
            </w:r>
            <w:r>
              <w:t>publicznej. Występują obiekty/przestrzenie nieużytkowane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1944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Budynek obecnie znajduje się w złym stanie technicznym. Odnowa budynku, który jest obiektem zabytkowym pozwoli na odbudowę funkcji mieszkalnej w obszarze Starego Miasta </w:t>
            </w:r>
            <w:r>
              <w:t>oraz nadanie możliwości zamieszkania w godziwych warunkach dla 5 rodzin o niskich dochodach, których nie stać na zakup własnego mieszkania. Ponadto projekt pozwoli na utworzenie miejsc pracy w lokalach użytkowych znajdujących się w objętej projektem infras</w:t>
            </w:r>
            <w:r>
              <w:t>trukturze. Odnowiona infrastruktura spełniać będzie głównie funkcje w zakresie wynajmu miejskiej substancji mieszkaniowej, przyczyniając się do poprawy zdiagnozowanych na obszarze niedoborów komunalnej substancji mieszkaniowej.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1074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JS1</w:t>
            </w:r>
            <w:r>
              <w:t xml:space="preserve"> - ul Grodzka 1, 177obr. 21 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Towarzystwa Budownictwa Społecznego Sp. z o.o.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6 000 000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2028-2029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</w:t>
            </w:r>
            <w:r>
              <w:t xml:space="preserve">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853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zabytków nieruchomych objętych wsparciem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837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49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6 577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Dane statystyczne Urzędu Miasta </w:t>
            </w:r>
            <w:r>
              <w:t>Piotrkowa Trybunalskiego oraz realizatora projektu</w:t>
            </w:r>
          </w:p>
        </w:tc>
      </w:tr>
      <w:tr w:rsidR="00A916A4">
        <w:trPr>
          <w:trHeight w:val="78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Miejsca pracy utworzone we</w:t>
            </w:r>
            <w:r>
              <w:rPr>
                <w:color w:val="000000"/>
                <w:u w:color="000000"/>
              </w:rPr>
              <w:br/>
              <w:t>wspieranych jednostkach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EPC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</w:t>
            </w:r>
            <w:r>
              <w:t xml:space="preserve">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685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A9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color w:val="000000"/>
                <w:sz w:val="24"/>
                <w:u w:color="000000"/>
              </w:rPr>
              <w:t xml:space="preserve">Odnowa komunalnej substancji mieszkaniowej </w:t>
            </w:r>
            <w:r>
              <w:rPr>
                <w:b/>
                <w:color w:val="000000"/>
                <w:sz w:val="24"/>
                <w:u w:color="000000"/>
              </w:rPr>
              <w:br/>
              <w:t>Starego Miasta - Grodzka 3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81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wykluczonych i ze szczególnymi potrzebami oraz poprawa </w:t>
            </w:r>
            <w:r>
              <w:t>środowiska naturalnego i 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50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Budowa i modernizacja, w tym termomodernizacja obiektów użyteczności publicznej i budownictwa wielorodzinnego</w:t>
            </w:r>
          </w:p>
        </w:tc>
      </w:tr>
      <w:tr w:rsidR="00A916A4">
        <w:trPr>
          <w:trHeight w:val="50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3.5 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Poprawa dostępności </w:t>
            </w:r>
            <w:r>
              <w:t>do infrastruktury publicznej dla osób ze szczególnymi 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Niedobór/zły stan gminnych zasobów mieszkaniowych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Niedostateczna dostępność do infrastruktury publicznej dla osób ze szczególnymi potrzebami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Degradacja infrastruktury publicznej. Występują obiekty/przestrzenie nieużytkowane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1879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Budynek obecnie znajduje się w złym stanie technicznym. Odnowa budynku pozwoli na odbudowę funkcji mieszkalnej w obszarze Starego Miasta oraz </w:t>
            </w:r>
            <w:r>
              <w:t>nadanie możliwości zamieszkania w godziwych warunkach dla 30 rodzin o niskich dochodach, których nie stać na zakup własnego mieszkania. Odnowiona infrastruktura spełniać będzie głównie funkcje w zakresie wynajmu miejskiej substancji mieszkaniowej, przyczyn</w:t>
            </w:r>
            <w:r>
              <w:t>iając się do poprawy zdiagnozowanych na obszarze niedoborów komunalnej substancji mieszkaniowej.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589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JS1</w:t>
            </w:r>
            <w:r>
              <w:t xml:space="preserve"> - ul Grodzka 3, 179 obr. 21 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Miasto Piotrków Trybunalski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10 000 000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2028-2029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Protokół </w:t>
            </w:r>
            <w:r>
              <w:t>odbioru robót</w:t>
            </w:r>
          </w:p>
        </w:tc>
      </w:tr>
      <w:tr w:rsidR="00A916A4">
        <w:trPr>
          <w:trHeight w:val="901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6 577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Dane statystyczne Urzędu </w:t>
            </w:r>
            <w:r>
              <w:t>Miasta Piotrkowa Trybunalskiego oraz realizatora projektu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2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82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A10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Odtworzenie tkanki architektonicznej budynku administracyjnego Muzeum w Piotrkowie Trybunalskim wraz z jego adaptacją do nowych funkcji 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84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wykluczonych i ze </w:t>
            </w:r>
            <w:r>
              <w:t>szczególnymi potrzebami oraz poprawa środowiska naturalnego i 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60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Budowa i modernizacja infrastruktury społeczno-kulturalnej , sportowo-rekreacyjnej i dziedzictwa </w:t>
            </w:r>
            <w:r>
              <w:t>narodowego</w:t>
            </w:r>
          </w:p>
        </w:tc>
      </w:tr>
      <w:tr w:rsidR="00A916A4">
        <w:trPr>
          <w:trHeight w:val="60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3.5 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Poprawa dostępności do infrastruktury publicznej dla osób ze szczególnymi 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504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Niedobór zagospodarowanej przestrzeni publicznej służącej aktywności społeczno-kulturalnej oraz integracji </w:t>
            </w:r>
            <w:r>
              <w:rPr>
                <w:sz w:val="20"/>
              </w:rPr>
              <w:t>mieszkańców, w tym zielonej architektury i rekreacyjno-sportowej</w:t>
            </w:r>
          </w:p>
        </w:tc>
      </w:tr>
      <w:tr w:rsidR="00A916A4">
        <w:trPr>
          <w:trHeight w:val="408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Niedostateczna dostępność do infrastruktury publicznej dla osób ze szczególnymi potrzebami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Degradacja infrastruktury publicznej. Występują obiekty/przestrzenie nieużytkowane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Opis </w:t>
            </w:r>
            <w:r>
              <w:t>projektowanych działań</w:t>
            </w:r>
          </w:p>
        </w:tc>
      </w:tr>
      <w:tr w:rsidR="00A916A4">
        <w:trPr>
          <w:trHeight w:val="2445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Działania przewidziane w projekcie służą odnowie stanu technicznego i architektury budynku przy Placu Zamkowym 3, spełniającego dotąd funkcje administracyjne miejskiego muzeum, poprzez całkowite jego odtworzenie wraz z częściową zmianą jego funkcji z admin</w:t>
            </w:r>
            <w:r>
              <w:t>istracyjnej na administracyjno-edukacyjną i kulturalną. Budynek administracyjny znajdujący się na działce oznaczonej numerem ewidencyjnym 101/1, jest własnością Skarbu Państwa, natomiast Urząd Miasta w Piotrkowie Trybunalskim sprawuje nad nim ograniczone p</w:t>
            </w:r>
            <w:r>
              <w:t>rawo rzeczowe wynikające z odpłatnego i na czas nieoznaczony, prawa użytkowania nieruchomości na cele statutowe Muzeum w Piotrkowie Trybunalskim. Ponadto budynek posadowiony jest w strefie objętej ochroną konserwatorską, co w kwestii jego remontu, wyburzen</w:t>
            </w:r>
            <w:r>
              <w:t>ia, czy też zmiany funkcji, wymaga opinii Wojewódzkiego Łódzkiego Konserwatora Zabytków. Zgodnie z ekspertyzami architektoniczno-inżynieryjnymi budynek nie nadaje się do remontu, a jego stan techniczny wymaga ciągłego dozoru oraz bieżącego monitorowania, c</w:t>
            </w:r>
            <w:r>
              <w:t xml:space="preserve">o stanowi obciążenie zarówno dla jego użytkowników, jak również wpływa na obniżenie wartości funkcjonalno-przestrzennej obszaru, na którym jest on posadowiony. </w:t>
            </w:r>
          </w:p>
          <w:p w:rsidR="00A916A4" w:rsidRDefault="00EC7227">
            <w:r>
              <w:t>Budynek jest 3-kondygnacyjnym obiektem biurowym, składającym się z parteru, piętra i nieużytkow</w:t>
            </w:r>
            <w:r>
              <w:t>ego poddasza. Powierzchnia zabudowy budynku wynosi 172, 48 m</w:t>
            </w:r>
            <w:r>
              <w:rPr>
                <w:vertAlign w:val="superscript"/>
              </w:rPr>
              <w:t>2</w:t>
            </w:r>
            <w:r>
              <w:t>. W zakres działań mających na celu realizację projektu będą zatem włączone następujące działania:</w:t>
            </w:r>
          </w:p>
          <w:p w:rsidR="00A916A4" w:rsidRDefault="00A916A4"/>
          <w:p w:rsidR="00A916A4" w:rsidRDefault="00EC7227">
            <w:r>
              <w:t>- sporządzenie ekspertyzy konserwatora WUOZŁ odnośnie możliwości wyburzenia budynku oraz odtwor</w:t>
            </w:r>
            <w:r>
              <w:t xml:space="preserve">zenia jego bryły architektonicznej tak, aby nie zaburzała ona układu urbanistycznego objętego nadzorem konserwatorskim i była zgodna z jego wytycznymi; </w:t>
            </w:r>
          </w:p>
          <w:p w:rsidR="00A916A4" w:rsidRDefault="00EC7227">
            <w:r>
              <w:t xml:space="preserve">- sporządzenie projektu technicznego rozbiórki budynku administracyjnego; </w:t>
            </w:r>
          </w:p>
          <w:p w:rsidR="00A916A4" w:rsidRDefault="00EC7227">
            <w:r>
              <w:t>- realizacja procesu rozbiór</w:t>
            </w:r>
            <w:r>
              <w:t xml:space="preserve">ki wraz z zachowaniem niezbędnych przepisów BHP oraz utylizacją pozostałości po nim (gruz, materiały potencjalnie niebezpieczne) </w:t>
            </w:r>
          </w:p>
          <w:p w:rsidR="00A916A4" w:rsidRDefault="00EC7227">
            <w:r>
              <w:lastRenderedPageBreak/>
              <w:t>- sporządzenie projektu architektonicznego zachowującego dotychczasową bryłę i wygląd budynku, uwzględniającą jednak zmianę je</w:t>
            </w:r>
            <w:r>
              <w:t xml:space="preserve">go przeznaczenia z budynku typowo administracyjnego na funkcje administracyjno-edukacyjne i kulturalne z jednoczesnym uwzględnieniem potrzeb osób z niepełnosprawnością (w uzgodnieniu z WUOZŁ); </w:t>
            </w:r>
          </w:p>
          <w:p w:rsidR="00A916A4" w:rsidRDefault="00EC7227">
            <w:r>
              <w:t>- budowa budynku wraz z jego niezbędnym wyposażeniem przeznacz</w:t>
            </w:r>
            <w:r>
              <w:t>onym na cele administracyjne, kulturalne i oświatowe (powstanie sali edukacyjnej, zaprojektowanie i wydzielenie miejsca na potrzeby magazynowe – poddasze budynku)</w:t>
            </w:r>
          </w:p>
          <w:p w:rsidR="00A916A4" w:rsidRDefault="00EC7227">
            <w:r>
              <w:t xml:space="preserve"> - sporządzenie dokumentacji powykonawczej i odbiór prac. </w:t>
            </w:r>
          </w:p>
          <w:p w:rsidR="00A916A4" w:rsidRDefault="00A916A4"/>
          <w:p w:rsidR="00A916A4" w:rsidRDefault="00EC7227">
            <w:r>
              <w:t>Oprócz odtworzenia masy architekt</w:t>
            </w:r>
            <w:r>
              <w:t>onicznej budynku projekt zakłada wyposażenie go w udogodnienia dla osób niepełnosprawnych. W szczególności pochylnie dla wózków inwalidzkich oraz windę przystosowaną do przewozu osób niepełnosprawnych na I piętro i poddasze budynku (przebudowa i dostosowan</w:t>
            </w:r>
            <w:r>
              <w:t xml:space="preserve">ie ciągów komunikacyjnych w projekcie architektonicznym budynku z jednoczesnym wyposażeniem go w fazie wykonawczej w niezbędne urządzenia). </w:t>
            </w:r>
          </w:p>
          <w:p w:rsidR="00A916A4" w:rsidRDefault="00EC7227">
            <w:r>
              <w:t>Muzeum, dla którego łączna liczba osób odwiedzających jest szacowana na prawie 25000 osób (dane za rok 2022) ma pre</w:t>
            </w:r>
            <w:r>
              <w:t>dyspozycje, logistyczne (dogodny dojazd, umiejscowienie w centrum miasta) i merytoryczne (pracownicy – specjaliści w dziedzinie, historii, historii sztuki, archeologii, oświaty), aby stać się prężnym ośrodkiem działalności kulturalno-oświatowej i historycz</w:t>
            </w:r>
            <w:r>
              <w:t>nej dla najbliższego sąsiedztwa i rejonu. Potencjał placówki nie jest wykorzystany w pełni ze względu na brak pomieszczeń magazynowych oraz sali edukacyjnej, która stanowiła by centrum pogłębiania wiedzy o historii i kulturze regionu. Powyższe wydaje się s</w:t>
            </w:r>
            <w:r>
              <w:t>zczególnie istotne ze względu na stopień zdegradowania społecznego obszaru, na którym funkcjonuje Muzeum oraz duży stopień zagrożenia jego mieszkańców ubóstwem, wykluczeniem społecznym i kulturalnym.</w:t>
            </w:r>
          </w:p>
          <w:p w:rsidR="00A916A4" w:rsidRDefault="00EC7227">
            <w:r>
              <w:t>Dzięki realizacji powyższego projektu, mógłby stać się o</w:t>
            </w:r>
            <w:r>
              <w:t>n dla najbliższego sąsiedztwa, ale także całego obszaru objętego procesem rewitalizacji, nośnikiem podniesienia jakości życia i aktywności społecznej jego mieszkańców. W dalszej perspektywie jego realizacja mogłaby pozytywnie wpłynąć na włączenie społeczno</w:t>
            </w:r>
            <w:r>
              <w:t>ści lokalnej w kulturę i historię regionu.</w:t>
            </w:r>
          </w:p>
        </w:tc>
      </w:tr>
      <w:tr w:rsidR="00A916A4">
        <w:trPr>
          <w:trHeight w:val="564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61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JS1</w:t>
            </w:r>
            <w:r>
              <w:t xml:space="preserve"> - Plac Zamkowy 3, dz. 101/1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Miasto Piotrków Trybunalski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10 000 000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2025-2028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3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obiektów kulturalnych i turystycznych objętych wsparciem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Liczba osób odwiedzających obiekty kulturalne i turystyczne</w:t>
            </w:r>
            <w:r>
              <w:rPr>
                <w:color w:val="000000"/>
                <w:u w:color="000000"/>
              </w:rPr>
              <w:br/>
              <w:t>objęte wsparciem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Odwiedzających /rok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25 000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ze zbioru Operatora infrastruktury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FEŁ </w:t>
            </w:r>
            <w:r>
              <w:rPr>
                <w:sz w:val="18"/>
              </w:rPr>
              <w:t>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46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A11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Przeszczepiamy aktywność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Cel strategiczny GPR</w:t>
            </w:r>
          </w:p>
        </w:tc>
      </w:tr>
      <w:tr w:rsidR="00A916A4">
        <w:trPr>
          <w:trHeight w:val="34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82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1.3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Wspieranie działań na rzecz integracji społecznej oraz rozwój inicjatyw i działań społeczno-kulturalnych w istniejącej lub nowej infrastrukturze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420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Niedostateczna</w:t>
            </w:r>
            <w:r>
              <w:t xml:space="preserve"> oferta (kulturalna, sportowa, rekreacyjna) spędzenia czasu wolnego mieszkańców</w:t>
            </w:r>
          </w:p>
        </w:tc>
      </w:tr>
      <w:tr w:rsidR="00A916A4">
        <w:trPr>
          <w:trHeight w:val="480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Niski poziom samowystarczalności ekonomicznej i samodzielności mieszkańców, zagrożenia </w:t>
            </w:r>
          </w:p>
          <w:p w:rsidR="00A916A4" w:rsidRDefault="00EC7227">
            <w:r>
              <w:t>wykluczenia społecznego i dysfunkcyjności w rodzinie</w:t>
            </w:r>
          </w:p>
        </w:tc>
      </w:tr>
      <w:tr w:rsidR="00A916A4">
        <w:trPr>
          <w:trHeight w:val="444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Niskie kompetencje rodzicielskie,</w:t>
            </w:r>
            <w:r>
              <w:t xml:space="preserve"> niedostateczne więzi rodzinne oraz problemy dotyczące przemocy w Rodzinie</w:t>
            </w:r>
          </w:p>
        </w:tc>
      </w:tr>
      <w:tr w:rsidR="00A916A4">
        <w:trPr>
          <w:trHeight w:val="45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Słaba aktywność organizacji pozarządowych i brak ich wsparcia finansowego, lokalowego ze strony </w:t>
            </w:r>
          </w:p>
          <w:p w:rsidR="00A916A4" w:rsidRDefault="00EC7227">
            <w:r>
              <w:t>Urzędu Miasta</w:t>
            </w:r>
          </w:p>
        </w:tc>
      </w:tr>
      <w:tr w:rsidR="00A916A4">
        <w:trPr>
          <w:trHeight w:val="660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Słaba integracja międzyludzka oraz niezadawalająca współpraca </w:t>
            </w:r>
            <w:r>
              <w:t>instytucji publicznych z mieszkańcami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6084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Projekt polega na kompleksowej kampanii informacyjno-edukacyjnej skierowanej do grupy defaworyzowanych mieszkańców podobszaru rewitalizacji. Jego celem jest zaszczepienie w zagrożonych </w:t>
            </w:r>
            <w:r>
              <w:t>wykluczeniem społecznym mieszkańcach podobszaru potrzeby włączenia się w nurt społeczno-kulturalnej aktywności. Realizacja zadania jest zaplanowana na 9 miesięcy roku 2024 - od kwietnia do grudnia i przewiduje zorganizowanie 5 spotkań autorskich, kursu szy</w:t>
            </w:r>
            <w:r>
              <w:t>bkiego czytania i 4 szkoleń. Przeprowadzona kampania sprawi, że grupa społeczna, która nie jest aktywnym uczestnikiem życia kulturalnego stanie się uczestnikiem docelowym w zadaniu. Głównym celem kampanii jest rozbudzenie zainteresowania czytelnictwem, zdo</w:t>
            </w:r>
            <w:r>
              <w:t>bycie wiedzy i rozwój osobisty odbiorcy. Projekt obejmuje m.in spotkania autorskie ze znanymi postaciami kultury i nauki, z psychologiem, terapeutą, działania szkoleniowo-warsztatowe, w tym m.in: „Świadomi rodzice - szczęśliwe dzieci" dotyczące budowania p</w:t>
            </w:r>
            <w:r>
              <w:t>oczucia własnej wartości i wiary w siebie u dzieci, empatii, emocji, komunikacji, "Nastolatki - poznaj by zrozumieć", "Szybkie czytanie", "Motywacja dziecka do nauki", "Asertywność, komunikacja rodziców z dziećmi" i inne. Działania zawarte w projekcie skie</w:t>
            </w:r>
            <w:r>
              <w:t>rowane są do wszystkich mieszkańców obszaru rewitalizacji, jednakże szczególny nacisk położony będzie na udział w projekcie osób doświadczonych problemami w rodzinie, zagrożonych wykluczeniem społecznym. Spotkania autorskie, interesujące wydarzenie literac</w:t>
            </w:r>
            <w:r>
              <w:t>kie a także szkolenia są wartościową formą rozwoju osobistego defaworyzowanej grupy mieszkańców. Kurs szybkiego czytania pozwoli na rozwinięcie wyobraźni, krytyczną analizę tekstu. Uczestnicy będą mieli możliwość odkryć wspaniałe możliwości ludzkiego mózgu</w:t>
            </w:r>
            <w:r>
              <w:t xml:space="preserve"> i zwiększyć poziom rozumienia i zapamiętania tekstu. Z kolei wartościowe innowatorskie formy promocji czytelnictwa zapewnią podniesienie kompetencji osobistych, pozwolą zdobyć nową wiedzę. Doświadczenie osób, które poprowadzą szkolenia i podzielą się zdob</w:t>
            </w:r>
            <w:r>
              <w:t>ytą wiedzą z odbiorcami to gwarancja realizacji przyjętych założeń merytorycznych. Projekt prowadzony będzie w partnerstwie z MOPR oraz Stowarzyszeniem Wzajemnej Pomocy Abstynenckiej „Pałacyk”.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816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Obszar rewitalizacji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Miejska Biblioteka Publiczna im. Adama Próchnika w Piotrkowie Trybunalskim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Źródło </w:t>
            </w:r>
            <w:r>
              <w:t>danych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Powierzchnia obszarów objętych rewitalizacją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ha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1 266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z Urzędu Miasta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564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18 716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demograficzne z Urzędu Miasta</w:t>
            </w:r>
          </w:p>
        </w:tc>
      </w:tr>
      <w:tr w:rsidR="00A916A4">
        <w:trPr>
          <w:trHeight w:val="624"/>
        </w:trPr>
        <w:tc>
          <w:tcPr>
            <w:tcW w:w="4275" w:type="dxa"/>
            <w:gridSpan w:val="9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uczestników spotkań informacyjno-edukacyjnych </w:t>
            </w:r>
          </w:p>
        </w:tc>
        <w:tc>
          <w:tcPr>
            <w:tcW w:w="141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4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600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Lista uczestników 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1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46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A12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Miejsce kultury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384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80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1.3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Wspieranie działań na rzecz integracji społecznej oraz rozwoju inicjatyw i działań </w:t>
            </w:r>
            <w:r>
              <w:t>społeczno-kulturalnych w istniejącej lub nowej infrastrukturze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324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Niedostateczna oferta (kulturalna, sportowa, rekreacyjna) spędzenia czasu wolnego mieszkańców</w:t>
            </w:r>
          </w:p>
        </w:tc>
      </w:tr>
      <w:tr w:rsidR="00A916A4">
        <w:trPr>
          <w:trHeight w:val="444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Niski poziom samowystarczalności ekonomicznej i samodzielności mieszkańców, zagrożenia </w:t>
            </w:r>
          </w:p>
          <w:p w:rsidR="00A916A4" w:rsidRDefault="00EC7227">
            <w:r>
              <w:t>wykluczenia społecznego i dysfunkcyjności w rodzinie</w:t>
            </w:r>
          </w:p>
        </w:tc>
      </w:tr>
      <w:tr w:rsidR="00A916A4">
        <w:trPr>
          <w:trHeight w:val="528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Słaba aktywność organizacji pozarządowych i brak ich wsparcia finansowego, lokalowego ze strony Urzędu Miasta</w:t>
            </w:r>
          </w:p>
        </w:tc>
      </w:tr>
      <w:tr w:rsidR="00A916A4">
        <w:trPr>
          <w:trHeight w:val="492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Słaba integracja międzyludzka oraz niezadawalająca współpraca instytucji publicznych z mieszkańcami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9600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lastRenderedPageBreak/>
              <w:t xml:space="preserve">Miejsce Kultury to projekt edukacyjno-artystyczny przeznaczony dla wszystkich grup wiekowych, mający na celu wzrost wiedzy </w:t>
            </w:r>
            <w:r>
              <w:rPr>
                <w:color w:val="000000"/>
                <w:u w:color="000000"/>
              </w:rPr>
              <w:t>i rozwój kulturalny uczestników. Projekt o charakterze ogólno miejskim, ze szczególną dedykacją dla defaworyzowanej grupy mieszkańców obszaru rewitalizacji, rodzin dysfunkcyjnych oraz zagrożonych wykluczeniem społecznym, aby mogli zdobywać wiedzę, rozwijać</w:t>
            </w:r>
            <w:r>
              <w:rPr>
                <w:color w:val="000000"/>
                <w:u w:color="000000"/>
              </w:rPr>
              <w:t xml:space="preserve"> swoje zdolności i umiejętności, możliwości samorozwoju poprzez obcowanie z kulturą i sztuką oraz identyfikować je z miejscem kultury – Mediateką 800-lecia. Projektowi przyświeca idea jak najszerszego zaangażowania w sferę kultury osób będących dotąd poza </w:t>
            </w:r>
            <w:r>
              <w:rPr>
                <w:color w:val="000000"/>
                <w:u w:color="000000"/>
              </w:rPr>
              <w:t>tą sferą zainteresowań osobistych. Zadanie opiera się na trzech fundamentach: teatrze, sztukach wizualnych oraz muzyce. Każdy z filarów obejmuje różnorodne działania o wysokiej wartości artystycznej i dużym potencjale rozwojowym uczestników. Realizacja zad</w:t>
            </w:r>
            <w:r>
              <w:rPr>
                <w:color w:val="000000"/>
                <w:u w:color="000000"/>
              </w:rPr>
              <w:t>ania zaplanowana jest na pięć miesięcy 2024 roku i przewiduje organizację 20 wydarzeń: 4 warsztaty teatralne, 4 warsztaty kamishibai, 1 konkurs teatralny, 1 happening historyczny, 4 warsztaty grafiki plakatowej, 1 konkurs w serwisie społecznościowym, 1 kon</w:t>
            </w:r>
            <w:r>
              <w:rPr>
                <w:color w:val="000000"/>
                <w:u w:color="000000"/>
              </w:rPr>
              <w:t>kurs plastyczny na krótką formę komiksową i 4 warsztaty muzyczne. Projekt daje możliwości podniesienia kompetencji twórczych i kulturalnych. Zawiera elementy odnoszące się do tradycji historycznej miasta, w tym obszaru objętego rewitalizacją.</w:t>
            </w:r>
            <w:r>
              <w:rPr>
                <w:color w:val="000000"/>
                <w:u w:color="000000"/>
              </w:rPr>
              <w:br/>
              <w:t>Odbiorcy zada</w:t>
            </w:r>
            <w:r>
              <w:rPr>
                <w:color w:val="000000"/>
                <w:u w:color="000000"/>
              </w:rPr>
              <w:t>nia Muzy Kultury w mierzalnej liczbie 1200 osób to reprezentanci wszystkich grup wiekowych. Dzieci w wieku 3-6 lat wezmą udział w konkursie plastycznym na krótką formę komiksową, a także w seansie głośnego opowiadania historii, za pośrednictwem Kamishibai,</w:t>
            </w:r>
            <w:r>
              <w:rPr>
                <w:color w:val="000000"/>
                <w:u w:color="000000"/>
              </w:rPr>
              <w:t xml:space="preserve"> a następnie wykonają karty ilustracyjne Kamishibai według scenariusza. Uczestnicy w wieku 7-11 lat poznają tajniki sztuki teatralnej, natomiast starsze dzieci w wieku 12-15 poznają historię polskiej szkoły plakatu. Dla obu tych grup wiekowych będących ucz</w:t>
            </w:r>
            <w:r>
              <w:rPr>
                <w:color w:val="000000"/>
                <w:u w:color="000000"/>
              </w:rPr>
              <w:t xml:space="preserve">niami szkoły integracyjnej przeznaczone są warsztaty muzyczne. Uczniowie szkół ponadpodstawowych wezmą udział w konkursie literacko-plastycznym. Wszyscy odbiorcy projektu będą mogli wziąć udział w konkursie teatralnym oraz Happeningu "Replika balonu braci </w:t>
            </w:r>
            <w:r>
              <w:rPr>
                <w:color w:val="000000"/>
                <w:u w:color="000000"/>
              </w:rPr>
              <w:t>Montgolfiere" z pokazem kostiumowym. Projekt Miejsce Kultury obejmuje następujące elementy podzielone na 3 sekcje:</w:t>
            </w:r>
          </w:p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Sekcja I TEATR</w:t>
            </w:r>
            <w:r>
              <w:rPr>
                <w:color w:val="000000"/>
                <w:u w:color="000000"/>
              </w:rPr>
              <w:br/>
              <w:t>4 Warsztaty Kamishibai</w:t>
            </w:r>
            <w:r>
              <w:rPr>
                <w:color w:val="000000"/>
                <w:u w:color="000000"/>
              </w:rPr>
              <w:br/>
              <w:t>4 Warsztaty teatralne</w:t>
            </w:r>
            <w:r>
              <w:rPr>
                <w:color w:val="000000"/>
                <w:u w:color="000000"/>
              </w:rPr>
              <w:br/>
              <w:t>Konkurs teatralny dla dzieci i dorosłych.</w:t>
            </w:r>
            <w:r>
              <w:rPr>
                <w:color w:val="000000"/>
                <w:u w:color="000000"/>
              </w:rPr>
              <w:br/>
              <w:t>Happening "Replika balonu braci Montgol</w:t>
            </w:r>
            <w:r>
              <w:rPr>
                <w:color w:val="000000"/>
                <w:u w:color="000000"/>
              </w:rPr>
              <w:t>fiere" z pokazem kostiumowym. Wydarzenie o wysokiej wartości artystycznej, będące rekonstrukcją historyczną wypuszczenia balonu na ogrzane powietrze przez francuskich wynalazców, braci Montgolfier w XIX wieku.</w:t>
            </w:r>
            <w:r>
              <w:rPr>
                <w:color w:val="000000"/>
                <w:u w:color="000000"/>
              </w:rPr>
              <w:br/>
              <w:t>Sekcja II SZTUKI WIZUALNE</w:t>
            </w:r>
            <w:r>
              <w:rPr>
                <w:color w:val="000000"/>
                <w:u w:color="000000"/>
              </w:rPr>
              <w:br/>
              <w:t xml:space="preserve">4 warsztaty grafiki </w:t>
            </w:r>
            <w:r>
              <w:rPr>
                <w:color w:val="000000"/>
                <w:u w:color="000000"/>
              </w:rPr>
              <w:t>plakatowej</w:t>
            </w:r>
            <w:r>
              <w:rPr>
                <w:color w:val="000000"/>
                <w:u w:color="000000"/>
              </w:rPr>
              <w:br/>
              <w:t>Konkurs literacko-plastyczny z nagrodami przeznaczony dla młodzieży ze szkół średnich.</w:t>
            </w:r>
            <w:r>
              <w:rPr>
                <w:color w:val="000000"/>
                <w:u w:color="000000"/>
              </w:rPr>
              <w:br/>
              <w:t>Konkurs plastyczny na krótką formę komiksową.</w:t>
            </w:r>
            <w:r>
              <w:rPr>
                <w:color w:val="000000"/>
                <w:u w:color="000000"/>
              </w:rPr>
              <w:br/>
              <w:t>Sekcja III DŹWIĘK</w:t>
            </w:r>
            <w:r>
              <w:rPr>
                <w:color w:val="000000"/>
                <w:u w:color="000000"/>
              </w:rPr>
              <w:br/>
              <w:t>4 warsztaty muzyczne. Zajęcia dla klas integracyjnych szkół podstawowych.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Miejsce realizacji </w:t>
            </w:r>
            <w:r>
              <w:t>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840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Obszar rewitalizacji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Miejska Biblioteka Publiczna im. Adama Próchnika w Piotrkowie Trybunalskim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12 000 000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Nazwa </w:t>
            </w:r>
            <w:r>
              <w:t>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6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zrealizowanych wydarzeń kulturalnych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Dane, raporty, sprawozdania realizatora projektu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 xml:space="preserve">Liczba osób uczestniczących w </w:t>
            </w:r>
            <w:r>
              <w:t>programie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1 200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Dane, raporty, sprawozdania realizatora projektu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1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60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A13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color w:val="000000"/>
                <w:sz w:val="24"/>
                <w:u w:color="000000"/>
              </w:rPr>
              <w:t xml:space="preserve">Rozwój budownictwa wielorodzinnego </w:t>
            </w:r>
            <w:r>
              <w:rPr>
                <w:b/>
                <w:color w:val="000000"/>
                <w:sz w:val="24"/>
                <w:u w:color="000000"/>
              </w:rPr>
              <w:br/>
              <w:t>na ul. Starowarszawskiej i Garncarskiej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82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wykluczonych i ze szczególnymi potrzebami oraz poprawa środowiska naturalnego i ładu </w:t>
            </w:r>
            <w:r>
              <w:t>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56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Budowa i modernizacja, w tym termomodernizacja obiektów użyteczności publicznej i budownictwa wielorodzinnego</w:t>
            </w:r>
          </w:p>
        </w:tc>
      </w:tr>
      <w:tr w:rsidR="00A916A4">
        <w:trPr>
          <w:trHeight w:val="564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3.5 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Poprawa dostępności do infrastruktury publicznej </w:t>
            </w:r>
            <w:r>
              <w:t>dla osób ze szczególnymi 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Niedobór/zły stan gminnych zasobów mieszkaniowych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Wysoki poziom zanieczyszczenia powietrza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Niedostateczna dostępność do infrastruktury publicznej dla osób ze szczególnymi </w:t>
            </w:r>
            <w:r>
              <w:t>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2002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Projekt dotyczy zaprojektowania i budowy budynków mieszkalnych, wielorodzinnych z mieszkaniami komunalnymi w celu zagwarantowania mieszkań na wynajem osobom o niskich dochodach. Efektem projektu będzie zabudowa </w:t>
            </w:r>
            <w:r>
              <w:t>nieruchomości budynkiem mieszkalnym, wielorodzinnym z mieszkaniami na wynajem co pozwoli na zamieszkanie 62 rodzin o niskich dochodach, których nie stać na zakup mieszkania; Realizacja zadania własnego gminy. Infrastruktura spełniać będzie wymagania w zakr</w:t>
            </w:r>
            <w:r>
              <w:t>esie dostępności dla osób ze specjalnymi potrzebami.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1680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color w:val="000000"/>
                <w:u w:color="000000"/>
              </w:rPr>
              <w:t>JS1</w:t>
            </w:r>
            <w:r>
              <w:rPr>
                <w:color w:val="000000"/>
                <w:u w:color="000000"/>
              </w:rPr>
              <w:t xml:space="preserve"> - Starowarszawska 9,11,13,15, Garncarska 14, działki: 138/1,187/1,187/2,188/1,188/2,188/3,</w:t>
            </w:r>
            <w:r>
              <w:rPr>
                <w:color w:val="000000"/>
                <w:u w:color="000000"/>
              </w:rPr>
              <w:br/>
              <w:t>188/4,190/1,190/2,191,193/2 obr. 21 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Miasto Piotrków Trybunalski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10 000 000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2024-2026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696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879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6 577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statystyczne Urzędu Miasta Piotrkowa Trybunalskiego oraz realizatora projektu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Inne fund, </w:t>
            </w:r>
            <w:r>
              <w:rPr>
                <w:sz w:val="20"/>
              </w:rPr>
              <w:t>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46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A14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FP; Ś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Placemaking na Roosevelta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84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wykluczonych i ze szczególnymi potrzebami oraz </w:t>
            </w:r>
            <w:r>
              <w:t>poprawa środowiska naturalnego i 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6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Tworzenie i modernizacja funkcjonalna przestrzeni publicznych wraz z działaniami na rzecz polepszenia środowiska, dostępności do</w:t>
            </w:r>
            <w:r>
              <w:t xml:space="preserve"> mediów i poprawy ładu przestrzennego</w:t>
            </w:r>
          </w:p>
        </w:tc>
      </w:tr>
      <w:tr w:rsidR="00A916A4">
        <w:trPr>
          <w:trHeight w:val="6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3.5 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Poprawa dostępności do infrastruktury publicznej dla osób ze szczególnymi potrzebami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Niedobór zagospodarowanej przestrzeni publicznej służącej aktywności społeczno-kulturalnej oraz </w:t>
            </w:r>
          </w:p>
          <w:p w:rsidR="00A916A4" w:rsidRDefault="00EC7227">
            <w:pPr>
              <w:jc w:val="left"/>
            </w:pPr>
            <w:r>
              <w:t>integracji mieszkańców, w tym zielonej architektury i rekreacyjno-sportowej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Niedostateczna dostępność do infrastruktury publicznej dla osób ze szczególnymi po</w:t>
            </w:r>
            <w:r>
              <w:t>trzebami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Niska estetyka przestrzeni publicznych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5710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Projekt generuje działania służące stworzeniu modelowego przykładu przywrócenia wartości zdegradowanej tkanki miejskiej z jednoczesnym umocnieniem więzi społecznych. Propozycja </w:t>
            </w:r>
            <w:r>
              <w:t xml:space="preserve">zakłada wykreowanie nowych przestrzeni podkreślających szacunek do lokalnych wartości — przywrócenie prymatu stref wspólnych na przykład poprzez tworzenie przyjaznych środowisku i ludziom w różnym wieku z uwzględnieniem osób niepełnosprawnych edukacyjnych </w:t>
            </w:r>
            <w:r>
              <w:t xml:space="preserve">przestrzeni pozwalających na integracje międzypokoleniowe. Główne działania to: 1. przygotowaniu dokumentacji projektowej, 2. wyłonieniu wykonawców robót 3. monitorowaniu aktywności społeczno-kulturalnej na obszarze projektu Do zakresu rzeczowego projektu </w:t>
            </w:r>
            <w:r>
              <w:t>obejmującego rewitalizowaną przestrzeń wliczamy: 1. Utworzenie nowych utwardzeń terenu z uwzględnieniem potrzeb osób niepełnosprawnych. 2. Wymiana starego i wykonanie nowego oświetlenia energooszczędnego wraz z montażem monitoringu. 3. Wykonanie pielęgnacj</w:t>
            </w:r>
            <w:r>
              <w:t>i istniejącego drzewostanu oraz wykonanie nowych nasadzeń i zieleni. 4. Montaż małej architektury w tym obiektów o charakterze edukacyjnym lub kulturalnym. 5. Likwidacja barier architektonicznych. Podmiotem odpowiedzialnym za realizację projektu, kierowani</w:t>
            </w:r>
            <w:r>
              <w:t>e i koordynowanie będzie Piotrkowska Spółdzielnia Mieszkaniowa. Istniejący obszar charakteryzuje się dużym zdegradowaniem obszarów środowiskowych, funkcjonalno-użytkowych i technicznych szczególnie widocznych w mocno zurbanizowanych terenach w których wyst</w:t>
            </w:r>
            <w:r>
              <w:t>ępują duże problemy społeczne. W ramach projektu przewiduje się rewitalizację obszarów miejskich poprzez powstrzymanie silnych zjawisk depopulacyjnych oraz polepszenie jakości życia i uatrakcyjnienie możliwości aktywizacji społecznej mieszkańców połączonej</w:t>
            </w:r>
            <w:r>
              <w:t xml:space="preserve"> z poprawą wizerunku i atrakcyjnością osadniczą obszaru w sferze gospodarczej, techn-przestrzennej i środowiskowej. Przewidywane prace związane z nasadzeniami oraz oświetleniem energooszczędnym wpłyną pozytywnie na polepszenie jakości powietrza w bezpośred</w:t>
            </w:r>
            <w:r>
              <w:t>nim otoczeniu mieszkańców oddziałując pozytywnie na całą jednostkę strukturalną. Przewidywane prace związane z utwardzeniem terenów oraz wykonaniem małej architektury rozwiążą problemy techniczne związane z licznymi przestrzeniami nieużytkowymi oraz przycz</w:t>
            </w:r>
            <w:r>
              <w:t>ynią się do poprawy infrastruktury publicznej, kulturalnej i rekreacyjno-sportowej aktywizując i integrując mieszkańców w tym osoby ze specjalnymi potrzebami.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</w:t>
            </w:r>
            <w:r>
              <w:t>ntacyjny okres realizacji [rok od-do]</w:t>
            </w:r>
          </w:p>
        </w:tc>
      </w:tr>
      <w:tr w:rsidR="00A916A4">
        <w:trPr>
          <w:trHeight w:val="1178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JS15</w:t>
            </w:r>
            <w:r>
              <w:t xml:space="preserve"> – ul. Roosevelta bl: 2,3,4, nr: 4a,6,10, dz.: 65/1; 65/2; 65/5; 64/4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Piotrkowska Spółdzielnia Mieszkaniowa w Piotrkowie Trybunalskim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1 500 000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2025-2029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43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Otwarta przestrzeń utworzona lub rekultywowana na obszarach miejskich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ha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0,3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 robót</w:t>
            </w:r>
          </w:p>
        </w:tc>
      </w:tr>
      <w:tr w:rsidR="00A916A4">
        <w:trPr>
          <w:trHeight w:val="97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wspartych obiektów infrastruktury (innych niż budynki mieszkalne) zlokalizowanych na rewitalizowanych obszarach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044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2 420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demograficzne i statystyczne Urzędu</w:t>
            </w:r>
            <w:r>
              <w:t xml:space="preserve"> Miasta Piotrkowa Trybunalskiego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1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759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A15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Wsparcie środowiskowe dla dzieci i młodzieży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831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84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1.3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Wspieranie działań na rzecz integracji społecznej oraz rozwój inicjatyw i działań społeczno-kulturalnych w </w:t>
            </w:r>
            <w:r>
              <w:t>istniejącej lub nowej infrastrukturze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821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Niskie kompetencje rodzicielskie, niedostateczne więzi rodzinne oraz problemy dotyczące przemocy w rodzinie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13135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lastRenderedPageBreak/>
              <w:t xml:space="preserve">W projekcie planuje się następujące </w:t>
            </w:r>
            <w:r>
              <w:t>działania:</w:t>
            </w:r>
          </w:p>
          <w:p w:rsidR="00A916A4" w:rsidRDefault="00EC7227">
            <w:r>
              <w:t xml:space="preserve">1. Spotkania integracyjne, w których uczestniczyć będą dzieci i młodzież wraz z rodzicami zamieszkującymi na terenie objętej programem rewitalizacji miasta. oraz kadra projektu. Spotkania zostaną przeprowadzone przez pracowników socjalnych MOPR </w:t>
            </w:r>
            <w:r>
              <w:t>w Piotrkowie Tryb. W trakcie ich trwania zorganizowane zostaną zabawy i konkursy (zabawy z chustą animacyjną, gry i zabawy sportowe, itp.). Celem powyższego działania będzie integracja rodzin, wdrożenie w alternatywne formy spędzania czasu wolnego oraz akt</w:t>
            </w:r>
            <w:r>
              <w:t xml:space="preserve">ywności na świeżym powietrzu. </w:t>
            </w:r>
          </w:p>
          <w:p w:rsidR="00A916A4" w:rsidRDefault="00EC7227">
            <w:r>
              <w:t>2. Warsztaty kompetencji rodzicielskich - cel: promowanie metod wychowawczych bez użycia przemocy, kształtowanie więzi rodzinnych i rodzicielskich opartych na wzajemnym szacunku, wypracowywanie właściwych postaw, podnoszenie kompetencji wychowawczych i świ</w:t>
            </w:r>
            <w:r>
              <w:t xml:space="preserve">adomości rodzicielskiej oraz dostarczenie rodzicom odpowiedniej wiedzy dotyczącej szeroko rozumianej cyberprzemocy, a także umiejętności rozpoznawania i reagowania na niepokojące zachowania dzieci. W trakcie spotkań ze specjalistami rodzice nabędą również </w:t>
            </w:r>
            <w:r>
              <w:t xml:space="preserve">wiedzę dotyczącą profilaktyki uzależnień. </w:t>
            </w:r>
          </w:p>
          <w:p w:rsidR="00A916A4" w:rsidRDefault="00EC7227">
            <w:r>
              <w:t>3. Pogadanki psychoedukacyjne dla dzieci i młodzieży. Ich celem będzie ukazanie dzieciom i młodzieży niebezpieczeństw w poruszaniu się w Internecie, sposobów właściwego traktowania rówieśników - bez hejtu, oraz wł</w:t>
            </w:r>
            <w:r>
              <w:t xml:space="preserve">aściwych praktyk relacji koleżeńskich. </w:t>
            </w:r>
          </w:p>
          <w:p w:rsidR="00A916A4" w:rsidRDefault="00EC7227">
            <w:r>
              <w:t xml:space="preserve">4. Happeningi - mające na celu promowanie prawidłowych wzorców i uwrażliwienie społeczności na problem przemocy w rodzinie. Ponadto poprzez wspólne przeżywanie radości młodzież będzie miała okazję przeciwstawić się </w:t>
            </w:r>
            <w:r>
              <w:t xml:space="preserve">agresji i przemocy. W działaniu udział brać będą m.in. uczniowie szkół podstawowych z terenu objętego programem rewitalizacji. Happeningi swoje zakończenie będą mieć na Rynku Starego Miasta, w Mediatece lub w Parku Śródmiejskim św. Jana Pawła II. </w:t>
            </w:r>
          </w:p>
          <w:p w:rsidR="00A916A4" w:rsidRDefault="00EC7227">
            <w:r>
              <w:t>5. Konku</w:t>
            </w:r>
            <w:r>
              <w:t>rsy (plastyczne, literackie, wiedzy, itp.)- celem konkursów będzie uwrażliwienie na utrzymywanie poprawnych relacji z rówieśnikami, profilaktyka cyberprzemocy, właściwego wyrażania myśli i uczuć, rozwijanie zainteresowań i uzdolnień, propagowanie idei prze</w:t>
            </w:r>
            <w:r>
              <w:t xml:space="preserve">ciwdziałania przemocy i afirmowanie prawidłowych zachowań społecznych opartych na wzajemnym szacunku i życzliwości oraz uświadomienie możliwości rozwiązywania sytuacji problemowych bez stosowania przemocy. </w:t>
            </w:r>
          </w:p>
          <w:p w:rsidR="00A916A4" w:rsidRDefault="00EC7227">
            <w:r>
              <w:t>6. Zajęcia i warsztaty rozwijające zainteresowani</w:t>
            </w:r>
            <w:r>
              <w:t>a - okres dzieciństwa powinien być maksymalnie wykorzystany do rozwijania zainteresowań dlatego w projekcie będziemy zachęcać rodziców i opiekunów, by w tym nie żałowali czasu, uwagi, pomysłów. Zasiane w dzieci ziarno zainteresowania przyniesie w przyszłoś</w:t>
            </w:r>
            <w:r>
              <w:t xml:space="preserve">ci owoc, z którego będą dumni. Zajęcia i warsztaty będą dobierane w zależności od zainteresowań uczestników projektu. </w:t>
            </w:r>
          </w:p>
          <w:p w:rsidR="00A916A4" w:rsidRDefault="00EC7227">
            <w:r>
              <w:t>7. Klub rodzinny – wspólne zajęcia dla dzieci i rodziców. Działanie przyczyni się m.in. do: minimalizowania postaw agresywnych oraz odrea</w:t>
            </w:r>
            <w:r>
              <w:t>gowywania napięć, pobudzania i rozwijania ekspresyjnego wyrażania myśli, rozwijania poczucia odpowiedzialności, samodzielności i wytrwałości, nawiązywania relacji społecznych, współdziałania w zespole, przestrzegania określonych reguł społ. i obyczajowych,</w:t>
            </w:r>
            <w:r>
              <w:t xml:space="preserve"> wyrażania emocji, panowania nad złością, frustracją. </w:t>
            </w:r>
          </w:p>
          <w:p w:rsidR="00A916A4" w:rsidRDefault="00EC7227">
            <w:r>
              <w:t>Za zarządzanie i nadzór nad przebiegiem poszczególnych działań odpowiedzialny będzie koordynator (pracownik MOPR). W realizację działań będą zaangażowani wyznaczeni pracownicy socjalni.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</w:t>
            </w:r>
            <w:r>
              <w:t>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1177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lastRenderedPageBreak/>
              <w:t>JS1</w:t>
            </w:r>
            <w:r>
              <w:t xml:space="preserve"> - Śródmieście - cały podobszar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Miejski Ośrodek Pomocy Rodzinie w Piotrkowie Trybunalskim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120 000 (40 tyś zł/rok)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2024; 2026; 2028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230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przeprowadzonych zajęć, warsztatów, spotkań w zakresie wspierania rodziny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21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Sprawozdanie MOPR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83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osób uczestniczących w zajęciach, warsztatach, spotkaniach w zakresie wspierania rodziny 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225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Listy uczestników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1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Nr </w:t>
            </w:r>
            <w:r>
              <w:t>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1099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A16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Poprawa dostępu do usług społecznych wspierających rodzinę i osoby zagrożone wykluczeniem społecznym 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885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</w:t>
            </w:r>
            <w:r>
              <w:t xml:space="preserve"> ramach celu strategicznego</w:t>
            </w:r>
          </w:p>
        </w:tc>
      </w:tr>
      <w:tr w:rsidR="00A916A4">
        <w:trPr>
          <w:trHeight w:val="1027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1.1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Wspieranie i inicjowanie działań zmierzających do zwiększenie dostępności do usług społecznych dla osób zagrożonych wykluczeniem społecznym, w tym osób ze szczególnymi potrzebami</w:t>
            </w:r>
          </w:p>
        </w:tc>
      </w:tr>
      <w:tr w:rsidR="00A916A4">
        <w:trPr>
          <w:trHeight w:val="1059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1.2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Rozwój lokalnego rynku pracy i </w:t>
            </w:r>
            <w:r>
              <w:t>aktywizacja osób bezrobotnych, wsparcie w aktywnym poszukiwaniu pracy dla osób znajdujących się w szczególnej sytuacji na rynku pracy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Problemy dotyczące rynku pracy</w:t>
            </w:r>
          </w:p>
        </w:tc>
      </w:tr>
      <w:tr w:rsidR="00A916A4">
        <w:trPr>
          <w:trHeight w:val="1018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Niski poziom samowystarczalności ekonomicznej i samodzielności mieszkańców, zagrożenia </w:t>
            </w:r>
          </w:p>
          <w:p w:rsidR="00A916A4" w:rsidRDefault="00EC7227">
            <w:pPr>
              <w:jc w:val="left"/>
            </w:pPr>
            <w:r>
              <w:t>wykluczenia społecznego i dysfunkcyjności w rodzinie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9612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lastRenderedPageBreak/>
              <w:t xml:space="preserve">W projekcie planuje się następujące działania: </w:t>
            </w:r>
          </w:p>
          <w:p w:rsidR="00A916A4" w:rsidRDefault="00EC7227">
            <w:r>
              <w:t xml:space="preserve">1. Działania prewencyjne mające </w:t>
            </w:r>
            <w:r>
              <w:t>ograniczyć umieszczanie dzieci w pieczy zastępczej poprzez usługi wsparcia rodziny, tj.:</w:t>
            </w:r>
          </w:p>
          <w:p w:rsidR="00A916A4" w:rsidRDefault="00EC7227">
            <w:r>
              <w:t xml:space="preserve">- obejmowanie rodzin wsparciem asystenta rodziny; </w:t>
            </w:r>
          </w:p>
          <w:p w:rsidR="00A916A4" w:rsidRDefault="00EC7227">
            <w:r>
              <w:t xml:space="preserve">- prowadzenie wzmożonej pracy socjalnej w rodzinach zagrożonych wykluczeniem społecznym; </w:t>
            </w:r>
          </w:p>
          <w:p w:rsidR="00A916A4" w:rsidRDefault="00EC7227">
            <w:r>
              <w:t>2. Pracę socjalną ukierunk</w:t>
            </w:r>
            <w:r>
              <w:t xml:space="preserve">owaną na aktywizację zawodową poprzez: </w:t>
            </w:r>
          </w:p>
          <w:p w:rsidR="00A916A4" w:rsidRDefault="00EC7227">
            <w:r>
              <w:t xml:space="preserve">- realizację kontraktów socjalnych ukierunkowanych na podjęcie zatrudnienia; </w:t>
            </w:r>
          </w:p>
          <w:p w:rsidR="00A916A4" w:rsidRDefault="00EC7227">
            <w:r>
              <w:t>- wsparcie w kontaktach z Powiatowym Urzędem Pracy;</w:t>
            </w:r>
          </w:p>
          <w:p w:rsidR="00A916A4" w:rsidRDefault="00EC7227">
            <w:r>
              <w:t>- kierowanie do udziału w kursach i szkoleniach;</w:t>
            </w:r>
          </w:p>
          <w:p w:rsidR="00A916A4" w:rsidRDefault="00EC7227">
            <w:r>
              <w:t>3. Wsparcie osób niesamodzielnych w m</w:t>
            </w:r>
            <w:r>
              <w:t xml:space="preserve">iejscu zamieszkania poprzez: </w:t>
            </w:r>
          </w:p>
          <w:p w:rsidR="00A916A4" w:rsidRDefault="00EC7227">
            <w:r>
              <w:t>- wprowadzenie usługi asystenta osobistego osoby niepełnosprawnej;</w:t>
            </w:r>
          </w:p>
          <w:p w:rsidR="00A916A4" w:rsidRDefault="00EC7227">
            <w:r>
              <w:t xml:space="preserve">- obejmowanie osób usługami opiekuńczymi lub specjalistycznymi usługami opiekuńczymi; </w:t>
            </w:r>
          </w:p>
          <w:p w:rsidR="00A916A4" w:rsidRDefault="00EC7227">
            <w:r>
              <w:t>Za realizację projektu odpowiedzialny Miejski Ośrodek Pomocy Rodzinie.</w:t>
            </w:r>
          </w:p>
          <w:p w:rsidR="00A916A4" w:rsidRDefault="00EC7227">
            <w:r>
              <w:t xml:space="preserve"> </w:t>
            </w:r>
            <w:r>
              <w:t>W wykonanie działań będą zaangażowani wyznaczeni pracownicy socjalni. Bardzo ważne jest wspieranie rodzin biologicznych, które samodzielnie nie radzą sobie z prawidłową opieką nad dziećmi. Obejmowanie rodzin wsparciem asystenta rodziny oraz prowadzenie wzm</w:t>
            </w:r>
            <w:r>
              <w:t>ożonej pracy socjalnej będą wspomagać rodziców, mających problemy w wypełnianiu obowiązków rodzicielskich, w taki sposób, aby zapobiec doprowadzeniu do sytuacji, w której dziecko, ze względu na jego dobro, zostałoby umieszczone w opiece zastępczej. Celem p</w:t>
            </w:r>
            <w:r>
              <w:t xml:space="preserve">racy asystenta będzie osiągnięcie przez rodzinę, którą się opiekuje, podstawowego poziomu stabilności życiowej umożliwiającej jej wychowywanie dzieci. </w:t>
            </w:r>
          </w:p>
          <w:p w:rsidR="00A916A4" w:rsidRDefault="00EC7227">
            <w:r>
              <w:t>Biorąc pod uwagę niską samowystarczalność ekonomiczną mieszkańców obszaru zaplanowano pracę socjalną uki</w:t>
            </w:r>
            <w:r>
              <w:t>erunkowaną na aktywizację zawodową. W związku z tym z klientami Miejskiego Ośrodka Pomocy Rodzinie zawierane będą kontrakty socjalne, których celem będzie poszukiwanie i podjęcie zatrudnienia. Ponadto planuje się pomoc i wsparcie klientów w uzyskaniu nowyc</w:t>
            </w:r>
            <w:r>
              <w:t>h uprawnień lub przekwalifikowaniu zawodowemu poprzez kierowanie ww. do udziału w kursach i szkoleniach. Kolejnym działaniem związanym z nie w pełni zaspokojonym popytem na sprzyjające włączeniu społecznemu wysokiej jakości usługi społeczne i kulturalno-re</w:t>
            </w:r>
            <w:r>
              <w:t>kreacyjne będzie wsparcie osób niesamodzielnych w miejscu zamieszkania, poprzez wprowadzenie usługi asystenta osobistego osoby niepełnosprawnej oraz obejmowanie osób usługami opiekuńczymi lub specjalistycznymi usługami opiekuńczymi. Zadaniem asystenta osob</w:t>
            </w:r>
            <w:r>
              <w:t>istego osoby niepełnosprawnej będzie m.in. wspomaganie osoby w komunikacji z otoczeniem, w tym pomoc w załatwianiu spraw urzędowych i innych, towarzyszenie osobie niepełnosprawnej w kontaktach społecznych - udział w imprezach kulturalnych, wspólne spędzani</w:t>
            </w:r>
            <w:r>
              <w:t>e czasu wolnego mające na celu rozwój zainteresowań, pomoc w docieraniu do szkół, miejsc pracy, na szkolenia oraz do placówek zajmujących się aktywizacją zawodową osób niepełnosprawnych. Natomiast usługi opiekuńcze obejmują pomoc w zaspokajaniu codziennych</w:t>
            </w:r>
            <w:r>
              <w:t xml:space="preserve"> potrzeb życiowych, opiekę higieniczną, zaleconą przez lekarza pielęgnację oraz, w miarę możliwości, zapewnienie kontaktów z otoczeniem.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Orientacyjny okres </w:t>
            </w:r>
            <w:r>
              <w:t>realizacji [rok od-do]</w:t>
            </w:r>
          </w:p>
        </w:tc>
      </w:tr>
      <w:tr w:rsidR="00A916A4">
        <w:trPr>
          <w:trHeight w:val="828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cały obszar Rewitalizacji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Miejski Ośrodek Pomocy Rodzinie w Piotrkowie Trybunalskim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30 000 (10 tyś zł/rok)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2025; 2027; 2029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696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osób objętych usługami </w:t>
            </w:r>
            <w:r>
              <w:t>świadczonymi w społeczności lokalnej w programie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osób/rok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Sprawozdanie MOPR</w:t>
            </w:r>
          </w:p>
        </w:tc>
      </w:tr>
      <w:tr w:rsidR="00A916A4">
        <w:trPr>
          <w:trHeight w:val="836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osób z niepełnosprawnościami objętych wsparciem w programie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osób/rok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840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 xml:space="preserve">Liczba osób, których sytuacja społeczna uległa poprawie po opuszczeniu programu 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osób/rok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Sprawozdanie MOPR</w:t>
            </w:r>
          </w:p>
        </w:tc>
      </w:tr>
      <w:tr w:rsidR="00A916A4">
        <w:trPr>
          <w:trHeight w:val="696"/>
        </w:trPr>
        <w:tc>
          <w:tcPr>
            <w:tcW w:w="4275" w:type="dxa"/>
            <w:gridSpan w:val="9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osób znajdujących się w lepszej sytuacji na rynku pracy po opuszczeniu programu</w:t>
            </w:r>
          </w:p>
        </w:tc>
        <w:tc>
          <w:tcPr>
            <w:tcW w:w="141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4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12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14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BM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104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A17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Poprawa dostępu do usług społecznych wspierających rodzinę i osoby zagrożone wykluczeniem społecznym 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61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739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1.3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Wspieranie działań na rzecz integracji społecznej oraz rozwoju inicjatyw i działań społeczno-kulturalnych w istniejącej lub nowej </w:t>
            </w:r>
            <w:r>
              <w:t>infrastrukturze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51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Niski poziom samowystarczalności ekonomicznej i samodzielności mieszkańców, zagrożenia </w:t>
            </w:r>
          </w:p>
          <w:p w:rsidR="00A916A4" w:rsidRDefault="00EC7227">
            <w:r>
              <w:t>wykluczenia społecznego i dysfunkcyjności w rodzinie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4297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Projekt będzie polegał na </w:t>
            </w:r>
            <w:r>
              <w:t xml:space="preserve">zorganizowaniu spotkania w Parku Miejskim im. Ks. Józefa Poniatowskiego w Piotrkowie Trybunalskim dla rodzin zastępczych oraz społeczności lokalnej. </w:t>
            </w:r>
          </w:p>
          <w:p w:rsidR="00A916A4" w:rsidRDefault="00EC7227">
            <w:r>
              <w:t>W trakcie spotkania zorganizowane będą gry i zabawy integracyjne dla dzieci oraz dorosłych, które pomogą w</w:t>
            </w:r>
            <w:r>
              <w:t xml:space="preserve"> nawiązywaniu relacji poprzez budowanie więzi w radosnej i luźnej atmosferze. Ich rolą będzie budowanie zaufania, umiejętności pracy w grupie i przełamywanie barier. Ponadto w trakcie spotkań prowadzone będą działania promujące rodzinne formy pieczy zastęp</w:t>
            </w:r>
            <w:r>
              <w:t>czej. Rodziny zastępcze już funkcjonujące będą dzielić się swoimi doświadczeniami. Zaplanowano stworzenie punktu informacyjnego w którym pozyskać będzie można informacje na temat jakie warunki należy spełnić, aby zostać rodzicem zastępczym. Na chętnych cze</w:t>
            </w:r>
            <w:r>
              <w:t xml:space="preserve">kać będą ulotki, słodycze, balony i tym podobne materiały promocyjne. Działania animacyjne oraz informacyjne zostaną przeprowadzone przez koordynatorów rodzinnej pieczy zastępczej, psychologa oraz pedagoga, zatrudnionych w Miejskim Ośrodku Pomocy Rodzinie </w:t>
            </w:r>
            <w:r>
              <w:t>w Piotrkowie Trybunalskim. Projekt będzie koordynował kierownik Centrum Wsparcia Rodziny i Dziecka Miejskiego Ośrodka Pomocy Rodzenie w Piotrkowie Trybunalskim. Projekt będzie realizował Miejski Ośrodek Pomocy Rodzinie w Piotrkowie Trybunalskim w którego s</w:t>
            </w:r>
            <w:r>
              <w:t>trukturach wyodrębniony został zespół Centrum Wsparcia Rodziny i Dziecka.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1080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JS15</w:t>
            </w:r>
            <w:r>
              <w:t xml:space="preserve"> - Park Miejski im. ks. Józefa Poniatowskiego, z oddziaływaniem na cały obszar rewitalizacji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Miejski Ośrodek Pomocy Rodzinie w Piotrkowie Trybunalskim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12 000</w:t>
            </w:r>
            <w:r>
              <w:rPr>
                <w:color w:val="000000"/>
                <w:u w:color="000000"/>
              </w:rPr>
              <w:br/>
              <w:t>(3 tys. zł/rok)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2024; 2026; 2028. 2030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0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Liczba przeprowadzonych zajęć, warsztatów, spotkań w zakresie wspierania rodziny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Sprawozdanie MOPR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80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osób uczestniczących w zajęciach, warsztatach, spotkaniach w zakresie wspierania rodziny 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80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Sprawozdanie MOPR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48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Nr </w:t>
            </w:r>
            <w:r>
              <w:t>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747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A18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Poprawa dostępu do zatrudnienia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Cel strategiczny GPR</w:t>
            </w:r>
          </w:p>
        </w:tc>
      </w:tr>
      <w:tr w:rsidR="00A916A4">
        <w:trPr>
          <w:trHeight w:val="5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Podniesienie jakości życia i aktywności społecznej mieszkańców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689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1.2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 xml:space="preserve">Rozwój lokalnego rynku pracy </w:t>
            </w:r>
            <w:r>
              <w:rPr>
                <w:color w:val="000000"/>
                <w:u w:color="000000"/>
              </w:rPr>
              <w:t>i aktywizacja osób bezrobotnych, wsparcie w aktywnym poszukiwaniu pracy dla osób znajdujących się w szczególnej sytuacji</w:t>
            </w:r>
            <w:r>
              <w:rPr>
                <w:color w:val="000000"/>
                <w:u w:color="000000"/>
              </w:rPr>
              <w:br/>
              <w:t>na rynku pracy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4310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 xml:space="preserve">W grupie osób bezrobotnych, osoby w wieku 55+ stanowią 17,47% ogółu. </w:t>
            </w:r>
            <w:r>
              <w:t>Bezrobocie w tej grupie wiekowej jest istotnym problemem społecznym, na co wpływ ma przede wszystkim zmieniająca się sytuacja demograficzna. Z powodu starzenia się społeczeństwa przybywa osób powyżej 55 roku życia, także tych, które nie mają pracy. Rodzi t</w:t>
            </w:r>
            <w:r>
              <w:t>o poważne skutki społeczne i gospodarcze, powiększa grono osób społecznie wykluczonych. Brak pracy w konsekwencji prowadzi do apatii, zobojętnienia oraz ograniczenia aktywności życiowej. Osoby niepełnosprawne stanowią 11,59% wszystkich bezrobotnych. Specyf</w:t>
            </w:r>
            <w:r>
              <w:t>iczne problemy tej grupy czynią ją szczególnie narażoną na wykluczenie społeczne i zawodowe. Osoby z niepełnosprawnościami cechuje brak motywacji do kształcenia oraz wejścia na rynek pracy z powodu: niskiej samooceny, braku akceptacji upośledzenia, braku m</w:t>
            </w:r>
            <w:r>
              <w:t xml:space="preserve">ateriałów dydaktycznych czy zasobów cyfrowych, ograniczenia dostępności, w szczególności do: transportu, przestrzeni publicznej i budynków. </w:t>
            </w:r>
          </w:p>
          <w:p w:rsidR="00A916A4" w:rsidRDefault="00EC7227">
            <w:r>
              <w:t xml:space="preserve">Osoby młode stanowią 23,05% ogółu bezrobotnych. Bariery w podjęciu zatrudnienia, to przede wszystkim brak lub niedostateczne doświadczenie zawodowe, niedostosowanie kwalifikacji do potrzeb rynku pracy, brak umiejętności poruszania się po rynku pracy. </w:t>
            </w:r>
          </w:p>
          <w:p w:rsidR="00A916A4" w:rsidRDefault="00EC7227">
            <w:r>
              <w:t xml:space="preserve">Ww. </w:t>
            </w:r>
            <w:r>
              <w:t>osoby potrzebują wsparcia, które umożliwi wzrost ich aktywności zawodowej, a w konsekwencji wejście lub powrót na rynek pracy.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6732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lastRenderedPageBreak/>
              <w:t>Projekt będzie realizowany przez Powiatowy Urząd Pracy w Piotrkowie Trybunalskim. Grupą docelową pr</w:t>
            </w:r>
            <w:r>
              <w:t>ojektu są osoby bezrobotne zarejestrowane na terenie miasta, w tym na obszarze rewitalizacji, w szczególności osoby młode, osoby starsze, długotrwale bezrobotne, kobiety, osoby o niskich kwalifikacjach, osoby z niepełnosprawnościami. PUP realizować będzie,</w:t>
            </w:r>
            <w:r>
              <w:t xml:space="preserve"> odpowiednio dobrane do potrzeb osób bezrobotnych, usługi i instrumenty rynku pracy, o których mowa w ustawie o promocji zatrudnienia i instytucjach rynku pracy. Negatywne skutki bezrobocia obejmują nie tylko obszar rewitalizacji ale przenikają wzajemnie p</w:t>
            </w:r>
            <w:r>
              <w:t>omiędzy wszystkimi jednostkami strukturalnymi miasta. Zaprogramowane przez PUP działania nie mają więc selektywnego charakteru i skierowane są do wszystkich osób kwalifikujących się do wsparcia w związku z sytuacją na rynku pracy.</w:t>
            </w:r>
          </w:p>
          <w:p w:rsidR="00A916A4" w:rsidRDefault="00EC7227">
            <w:r>
              <w:t>Zadania w projekcie to: •</w:t>
            </w:r>
            <w:r>
              <w:t xml:space="preserve"> Szkolenia indywidualne, bony szkoleniowe • Staże • Prace interwencyjne • Bony na zasiedlenie • Refundacja kosztów doposażenia/ wyposażenia stanowiska pracy. Rekrutacja uczestników projektu jest realizowana zgodnie z ustawą o promocji zatrudnienia i instyt</w:t>
            </w:r>
            <w:r>
              <w:t>ucjach rynku pracy. Kryteria rekrutacyjne zapewniają pierwszeństwo udziału osobom bezrobotnym znajdującym się w szczególnie trudnej sytuacji na rynku pracy, tj.: kobietom, osobom młodym, osobom starszym, osobom z niepełnosprawnościami, osobom długotrwale b</w:t>
            </w:r>
            <w:r>
              <w:t>ezrobotnym i osobom o niskich kwalifikacjach. W projekcie przyjęto, że osoby bezrobotne znajdujące się w szczególnie trudnej sytuacji na rynku pracy będą stanowiły co najmniej 60 % wszystkich uczestników projektu. Materiały informacyjne oraz dokumenty do p</w:t>
            </w:r>
            <w:r>
              <w:t xml:space="preserve">obrania są prezentowane językiem zrozumiałym, w tym wersje plików są udostępnione w postaci "Word", "dostępny PDF". </w:t>
            </w:r>
          </w:p>
          <w:p w:rsidR="00A916A4" w:rsidRDefault="00EC7227">
            <w:r>
              <w:t xml:space="preserve">Informacje o projekcie oraz dokumenty do pobrania, znajdują się na stronie internetowej www.piotrkowtrybunalski.praca.gov.pl (strona zgodna ze standardem WCAG 2.0, poziom AA). </w:t>
            </w:r>
          </w:p>
          <w:p w:rsidR="00A916A4" w:rsidRDefault="00EC7227">
            <w:r>
              <w:t>Budynek Urzędu jest przystosowany do obsługi osób z niepełnosprawnościami: bari</w:t>
            </w:r>
            <w:r>
              <w:t>erki, podjazd umożliwiający poruszanie się osobom na wózku, stanowiska doradców klienta znajdują się na parterze i są odpowiednio oznakowane. Jeden z doradców klienta przeszkolony jest w zakresie obsługi osób niesłyszących – posługuje się językiem migowym.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600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Miasto Piotrków Trybunalski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Powiatowy Urząd Pracy w Piotrkowie Trybunalskim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14 665 848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2024-2030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6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osób bezrobotnych, w tym długotrwale bezrobotnych, objętych wsparciem w programie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1 316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statystyczne PUP w Piotrkowie Trybunalskim</w:t>
            </w:r>
          </w:p>
        </w:tc>
      </w:tr>
      <w:tr w:rsidR="00A916A4">
        <w:trPr>
          <w:trHeight w:val="749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osób z niepełnosprawnościami objętych </w:t>
            </w:r>
            <w:r>
              <w:t>wsparciem w programie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154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812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osób, które uzyskały kwalifikacje po opuszczeniu programu 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63</w:t>
            </w:r>
          </w:p>
        </w:tc>
        <w:tc>
          <w:tcPr>
            <w:tcW w:w="192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statystyczne PUP w Piotrkowie Trybunalskim</w:t>
            </w:r>
          </w:p>
        </w:tc>
      </w:tr>
      <w:tr w:rsidR="00A916A4">
        <w:trPr>
          <w:trHeight w:val="732"/>
        </w:trPr>
        <w:tc>
          <w:tcPr>
            <w:tcW w:w="4275" w:type="dxa"/>
            <w:gridSpan w:val="9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osób pracujących, łącznie z prowadzącymi działalność na własny rachunek, po opuszczeniu programu </w:t>
            </w:r>
          </w:p>
        </w:tc>
        <w:tc>
          <w:tcPr>
            <w:tcW w:w="1410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4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1 050</w:t>
            </w:r>
          </w:p>
        </w:tc>
        <w:tc>
          <w:tcPr>
            <w:tcW w:w="192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36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X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X 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Nr proj.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705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A19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 xml:space="preserve">S </w:t>
            </w:r>
          </w:p>
        </w:tc>
        <w:tc>
          <w:tcPr>
            <w:tcW w:w="115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5760" w:type="dxa"/>
            <w:gridSpan w:val="1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Wsparcie rozwoju przedsiębiorczości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Cel strategiczny GPR</w:t>
            </w:r>
          </w:p>
        </w:tc>
      </w:tr>
      <w:tr w:rsidR="00A916A4">
        <w:trPr>
          <w:trHeight w:val="600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Ożywienie gospodarcze obszaru rewitalizacji dla rozwoju przedsiębiorczości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762"/>
        </w:trPr>
        <w:tc>
          <w:tcPr>
            <w:tcW w:w="1215" w:type="dxa"/>
            <w:gridSpan w:val="2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2.1</w:t>
            </w:r>
          </w:p>
        </w:tc>
        <w:tc>
          <w:tcPr>
            <w:tcW w:w="7800" w:type="dxa"/>
            <w:gridSpan w:val="1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Rozwój lokalnej </w:t>
            </w:r>
            <w:r>
              <w:t>przedsiębiorczości poprzez zapewnienie odpowiedniej infrastruktury technicznej i wsparcie nowo powstających i rozwijających się firm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trHeight w:val="456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Niski poziom przedsiębiorczości, niedostateczne wsparcie przedsiębiorczości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490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Projekt jest realizowany przez Powiatowy Urząd Pracy w Piotrkowie Trybunalskim. Grupą docelową projektu są osoby bezrobotne, w szczególności osoby młode, osoby starsze, długotrwale bezrobotne, kobiety, osoby o niskich kwalifika</w:t>
            </w:r>
            <w:r>
              <w:rPr>
                <w:color w:val="000000"/>
                <w:u w:color="000000"/>
              </w:rPr>
              <w:t>cjach, osoby z niepełnosprawnościami. PUP realizować będzie jedną z form aktywizacji zawodowej, o której mowa w ustawie o promocji zatrudnienia i instytucjach rynku pracy, tj.:</w:t>
            </w:r>
            <w:r>
              <w:rPr>
                <w:color w:val="000000"/>
                <w:u w:color="000000"/>
              </w:rPr>
              <w:br/>
              <w:t>• Jednorazowe środki na podjęcie działalności gospodarczej. Rekrutacja uczestni</w:t>
            </w:r>
            <w:r>
              <w:rPr>
                <w:color w:val="000000"/>
                <w:u w:color="000000"/>
              </w:rPr>
              <w:t>ków projektu jest realizowana zgodnie z ustawą o promocji zatrudnienia i instytucjach rynku pracy. Kryteria rekrutacyjne zapewniają pierwszeństwo udziału osobom bezrobotnym znajdującym się w szczególnie trudnej sytuacji na rynku pracy, tj.: kobietom, osobo</w:t>
            </w:r>
            <w:r>
              <w:rPr>
                <w:color w:val="000000"/>
                <w:u w:color="000000"/>
              </w:rPr>
              <w:t>m młodym, osobom starszym, osobom z niepełnosprawnościami, osobom długotrwale bezrobotnym i osobom o niskich kwalifikacjach. W projekcie przyjęto, że osoby bezrobotne znajdujące się w szczególnie trudnej sytuacji na rynku pracy będą stanowiły co najmniej 6</w:t>
            </w:r>
            <w:r>
              <w:rPr>
                <w:color w:val="000000"/>
                <w:u w:color="000000"/>
              </w:rPr>
              <w:t>0 % wszystkich uczestników projektu.</w:t>
            </w:r>
          </w:p>
          <w:p w:rsidR="00A77B3E" w:rsidRDefault="00EC7227">
            <w:pPr>
              <w:spacing w:before="240" w:after="20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Materiały informacyjne oraz dokumenty do pobrania są prezentowane językiem zrozumiałym, w tym wersje plików są udostępnione w postaci "Word", "dostępny PDF".</w:t>
            </w:r>
          </w:p>
          <w:p w:rsidR="00A77B3E" w:rsidRDefault="00EC7227">
            <w:pPr>
              <w:spacing w:before="240" w:after="20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 xml:space="preserve">Informacje o projekcie oraz dokumenty do pobrania, znajdują </w:t>
            </w:r>
            <w:r>
              <w:rPr>
                <w:color w:val="000000"/>
                <w:u w:color="000000"/>
              </w:rPr>
              <w:t>się na stronie internetowej www.piotrkowtrybunalski.praca.gov.pl (strona zgodna ze standardem WCAG 2.0, poziom AA).</w:t>
            </w:r>
          </w:p>
          <w:p w:rsidR="00A77B3E" w:rsidRDefault="00EC7227">
            <w:pPr>
              <w:spacing w:before="240" w:after="200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Budynek Urzędu jest przystosowany do obsługi osób z niepełnosprawnościami: barierki, podjazd umożliwiający poruszanie się osobom na wózku, s</w:t>
            </w:r>
            <w:r>
              <w:rPr>
                <w:color w:val="000000"/>
                <w:u w:color="000000"/>
              </w:rPr>
              <w:t>tanowiska doradców klienta znajdują się na parterze i są odpowiednio oznakowane. Jeden z doradców klienta przeszkolony jest w zakresie obsługi osób niesłyszących – posługuje się językiem migowym.</w:t>
            </w:r>
          </w:p>
        </w:tc>
      </w:tr>
      <w:tr w:rsidR="00A916A4">
        <w:trPr>
          <w:trHeight w:val="552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Sza</w:t>
            </w:r>
            <w:r>
              <w:t>cunkowy koszt projektu netto[zł]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528"/>
        </w:trPr>
        <w:tc>
          <w:tcPr>
            <w:tcW w:w="3255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Miasto Piotrków Trybunalski</w:t>
            </w:r>
          </w:p>
        </w:tc>
        <w:tc>
          <w:tcPr>
            <w:tcW w:w="285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Powiatowy Urząd Pracy w Piotrkowie Trybunalskim </w:t>
            </w:r>
          </w:p>
        </w:tc>
        <w:tc>
          <w:tcPr>
            <w:tcW w:w="127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7 560 000</w:t>
            </w:r>
          </w:p>
        </w:tc>
        <w:tc>
          <w:tcPr>
            <w:tcW w:w="16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2024-2030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95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Liczba osób, które otrzymały bezzwrotne środki na podjęcie działalności gospodarczej w programie 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252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Dane statystyczne PUP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lastRenderedPageBreak/>
              <w:t>Rezultaty projektu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1018"/>
        </w:trPr>
        <w:tc>
          <w:tcPr>
            <w:tcW w:w="4275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Liczba osób pracujących, łącznie z prowadzącymi działalność na własny rachunek, po opuszczeniu programu 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41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202</w:t>
            </w:r>
          </w:p>
        </w:tc>
        <w:tc>
          <w:tcPr>
            <w:tcW w:w="192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Dane statystyczne PUP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Źródła finansowania projektu</w:t>
            </w:r>
          </w:p>
        </w:tc>
      </w:tr>
      <w:tr w:rsidR="00A916A4">
        <w:trPr>
          <w:trHeight w:val="960"/>
        </w:trPr>
        <w:tc>
          <w:tcPr>
            <w:tcW w:w="121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(EFRR)</w:t>
            </w:r>
          </w:p>
        </w:tc>
        <w:tc>
          <w:tcPr>
            <w:tcW w:w="88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FEŁ 2021-2027 (EFS+)</w:t>
            </w:r>
          </w:p>
        </w:tc>
        <w:tc>
          <w:tcPr>
            <w:tcW w:w="102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X</w:t>
            </w:r>
          </w:p>
        </w:tc>
        <w:tc>
          <w:tcPr>
            <w:tcW w:w="141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FERS</w:t>
            </w:r>
          </w:p>
        </w:tc>
        <w:tc>
          <w:tcPr>
            <w:tcW w:w="4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 w:after="200"/>
              <w:jc w:val="center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Inne fund, progr.</w:t>
            </w:r>
          </w:p>
        </w:tc>
        <w:tc>
          <w:tcPr>
            <w:tcW w:w="28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 X</w:t>
            </w:r>
          </w:p>
        </w:tc>
        <w:tc>
          <w:tcPr>
            <w:tcW w:w="114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Wkład własny</w:t>
            </w:r>
          </w:p>
        </w:tc>
        <w:tc>
          <w:tcPr>
            <w:tcW w:w="49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 w:after="200"/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center"/>
              <w:rPr>
                <w:color w:val="000000"/>
                <w:u w:color="000000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7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76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58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6915" w:type="dxa"/>
            <w:gridSpan w:val="1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trHeight w:val="636"/>
        </w:trPr>
        <w:tc>
          <w:tcPr>
            <w:tcW w:w="75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A20</w:t>
            </w:r>
          </w:p>
        </w:tc>
        <w:tc>
          <w:tcPr>
            <w:tcW w:w="76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FP</w:t>
            </w:r>
          </w:p>
        </w:tc>
        <w:tc>
          <w:tcPr>
            <w:tcW w:w="58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I</w:t>
            </w:r>
          </w:p>
        </w:tc>
        <w:tc>
          <w:tcPr>
            <w:tcW w:w="6915" w:type="dxa"/>
            <w:gridSpan w:val="1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Przebudowa budynku przy POW 3 wraz z jego otoczeniem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trHeight w:val="876"/>
        </w:trPr>
        <w:tc>
          <w:tcPr>
            <w:tcW w:w="75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8265" w:type="dxa"/>
            <w:gridSpan w:val="1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wykluczonych i ze szczególnymi potrzebami oraz </w:t>
            </w:r>
            <w:r>
              <w:t>poprawa środowiska naturalnego i ładu przestrzennego obszaru rewitalizacji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trHeight w:val="696"/>
        </w:trPr>
        <w:tc>
          <w:tcPr>
            <w:tcW w:w="75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 3.2</w:t>
            </w:r>
          </w:p>
        </w:tc>
        <w:tc>
          <w:tcPr>
            <w:tcW w:w="8265" w:type="dxa"/>
            <w:gridSpan w:val="1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Budowa i modernizacja, w tym termomodernizacja obiektów użyteczności publicznej i budownictwa wielorodzinnego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Opis problemu, </w:t>
            </w:r>
            <w:r>
              <w:t>jaki ma rozwiązać projekt</w:t>
            </w:r>
          </w:p>
        </w:tc>
      </w:tr>
      <w:tr w:rsidR="00A916A4">
        <w:trPr>
          <w:trHeight w:val="540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t>Degradacja infrastruktury publicznej. Występują obiekty/przestrzenie nieużytkowane</w:t>
            </w:r>
          </w:p>
        </w:tc>
      </w:tr>
      <w:tr w:rsidR="00A916A4">
        <w:trPr>
          <w:trHeight w:val="276"/>
        </w:trPr>
        <w:tc>
          <w:tcPr>
            <w:tcW w:w="9015" w:type="dxa"/>
            <w:gridSpan w:val="18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t>Niska estetyka przestrzeni publicznych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trHeight w:val="1805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rPr>
                <w:color w:val="000000"/>
                <w:u w:color="000000"/>
              </w:rPr>
            </w:pPr>
            <w:r>
              <w:lastRenderedPageBreak/>
              <w:t xml:space="preserve">Obecnie budynek przy POW 3 jest nieużywanym od ok 20-u lat pustostanem </w:t>
            </w:r>
            <w:r>
              <w:t>wymagającym gruntownego remontu. Jest on położony ok 200 m od stacji kolejowej i dworca autobusowego. Budynek swym wyglądem szpeci okolicę. Jest ruiną. Generalny remont budynku pozwoliłby na uzyskanie przez ul POW nowego bardziej przyjaznego wyglądu. Ożywi</w:t>
            </w:r>
            <w:r>
              <w:t xml:space="preserve">łby ją poprzez: - nowe funkcje lokali użytkowych na parterze np.: restaurację czy sklepy - stworzenie mieszkań. W ramach realizacji projektu zostaną stworzone następujące ułatwienia: - podjazdy dla wózków - winda - rampy/podnośniki. </w:t>
            </w:r>
          </w:p>
        </w:tc>
      </w:tr>
      <w:tr w:rsidR="00A916A4">
        <w:trPr>
          <w:trHeight w:val="552"/>
        </w:trPr>
        <w:tc>
          <w:tcPr>
            <w:tcW w:w="21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Miejsce realizacji </w:t>
            </w:r>
            <w:r>
              <w:t>projektu</w:t>
            </w:r>
          </w:p>
        </w:tc>
        <w:tc>
          <w:tcPr>
            <w:tcW w:w="1875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204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3000" w:type="dxa"/>
            <w:gridSpan w:val="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trHeight w:val="876"/>
        </w:trPr>
        <w:tc>
          <w:tcPr>
            <w:tcW w:w="21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JS1 </w:t>
            </w:r>
            <w:r>
              <w:t>- ul. POW 3, działka nr 1/2 obręb 22</w:t>
            </w:r>
          </w:p>
        </w:tc>
        <w:tc>
          <w:tcPr>
            <w:tcW w:w="1875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Przychodnia Stomatologiczna AESTHETIC DENTAL Emilia Bartczak </w:t>
            </w:r>
          </w:p>
        </w:tc>
        <w:tc>
          <w:tcPr>
            <w:tcW w:w="204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6 000 000</w:t>
            </w:r>
          </w:p>
        </w:tc>
        <w:tc>
          <w:tcPr>
            <w:tcW w:w="3000" w:type="dxa"/>
            <w:gridSpan w:val="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2024 - 2027</w:t>
            </w: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Produkty </w:t>
            </w:r>
            <w:r>
              <w:t>projektu</w:t>
            </w:r>
          </w:p>
        </w:tc>
      </w:tr>
      <w:tr w:rsidR="00A916A4">
        <w:trPr>
          <w:trHeight w:val="288"/>
        </w:trPr>
        <w:tc>
          <w:tcPr>
            <w:tcW w:w="3045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54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3540" w:type="dxa"/>
            <w:gridSpan w:val="8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768"/>
        </w:trPr>
        <w:tc>
          <w:tcPr>
            <w:tcW w:w="3045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Liczba wspartych budynków mieszkalnych zlokalizowanych na rewitalizowanych obszarach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54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3540" w:type="dxa"/>
            <w:gridSpan w:val="8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Protokół odbioru</w:t>
            </w:r>
          </w:p>
        </w:tc>
      </w:tr>
      <w:tr w:rsidR="00A916A4">
        <w:trPr>
          <w:trHeight w:val="768"/>
        </w:trPr>
        <w:tc>
          <w:tcPr>
            <w:tcW w:w="3045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Liczba zmodernizowanych energetycznie budynków 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54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3540" w:type="dxa"/>
            <w:gridSpan w:val="8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 w:after="200"/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672"/>
        </w:trPr>
        <w:tc>
          <w:tcPr>
            <w:tcW w:w="3045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54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3540" w:type="dxa"/>
            <w:gridSpan w:val="8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spacing w:before="240" w:after="200"/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trHeight w:val="288"/>
        </w:trPr>
        <w:tc>
          <w:tcPr>
            <w:tcW w:w="3045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54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3540" w:type="dxa"/>
            <w:gridSpan w:val="8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trHeight w:val="540"/>
        </w:trPr>
        <w:tc>
          <w:tcPr>
            <w:tcW w:w="3045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545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6 577</w:t>
            </w:r>
          </w:p>
        </w:tc>
        <w:tc>
          <w:tcPr>
            <w:tcW w:w="3540" w:type="dxa"/>
            <w:gridSpan w:val="8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spacing w:before="240" w:after="200"/>
              <w:jc w:val="center"/>
              <w:rPr>
                <w:color w:val="000000"/>
                <w:u w:color="000000"/>
              </w:rPr>
            </w:pPr>
            <w:r>
              <w:t>Dane statystyczne Urzędu Miasta w </w:t>
            </w:r>
            <w:r>
              <w:t>Piotrkowie Trybunalskim</w:t>
            </w:r>
          </w:p>
        </w:tc>
      </w:tr>
      <w:tr w:rsidR="00A916A4">
        <w:trPr>
          <w:trHeight w:val="288"/>
        </w:trPr>
        <w:tc>
          <w:tcPr>
            <w:tcW w:w="121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Przypis:</w:t>
            </w:r>
          </w:p>
        </w:tc>
        <w:tc>
          <w:tcPr>
            <w:tcW w:w="8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8520" w:type="dxa"/>
            <w:gridSpan w:val="17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rPr>
                <w:i/>
                <w:sz w:val="24"/>
              </w:rPr>
              <w:t>Typ projektu: „I” – infrastrukturalny; „N” – nieinfrastrukturalny (miękki)</w:t>
            </w: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rPr>
                <w:i/>
                <w:sz w:val="24"/>
              </w:rPr>
              <w:t>Sfera oddziaływania projektu: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lastRenderedPageBreak/>
              <w:t>S - społeczna; G - gospodarcza; Ś - środowiskowa; FP - funkcjonalno- przestrzenna; T –techniczna</w:t>
            </w:r>
          </w:p>
        </w:tc>
      </w:tr>
      <w:tr w:rsidR="00A916A4">
        <w:trPr>
          <w:trHeight w:val="288"/>
        </w:trPr>
        <w:tc>
          <w:tcPr>
            <w:tcW w:w="4275" w:type="dxa"/>
            <w:gridSpan w:val="9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rPr>
                <w:i/>
                <w:sz w:val="24"/>
              </w:rPr>
              <w:t>Inne źródła finansowania:</w:t>
            </w: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015" w:type="dxa"/>
            <w:gridSpan w:val="18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FP - Fundusz Pracy; PR - programy rządowe; NFOŚiGW - Narodowy Fund Ochrony Środowiska i Gospodarki Wodnej,</w:t>
            </w:r>
          </w:p>
        </w:tc>
      </w:tr>
      <w:tr w:rsidR="00A916A4">
        <w:trPr>
          <w:trHeight w:val="288"/>
        </w:trPr>
        <w:tc>
          <w:tcPr>
            <w:tcW w:w="3255" w:type="dxa"/>
            <w:gridSpan w:val="6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spacing w:before="240" w:after="200"/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BM - budżet Miasta</w:t>
            </w:r>
          </w:p>
        </w:tc>
        <w:tc>
          <w:tcPr>
            <w:tcW w:w="102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spacing w:before="240" w:after="200"/>
              <w:jc w:val="left"/>
              <w:rPr>
                <w:color w:val="000000"/>
                <w:u w:color="000000"/>
              </w:rPr>
            </w:pP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8.2.</w:t>
      </w:r>
      <w:r>
        <w:rPr>
          <w:b/>
          <w:color w:val="000000"/>
          <w:u w:color="000000"/>
        </w:rPr>
        <w:t>Charakterystyka pozostałych dopuszczalnych przedsięwzięć rewitalizacyjnych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Dla </w:t>
      </w:r>
      <w:r>
        <w:rPr>
          <w:color w:val="000000"/>
          <w:u w:color="000000"/>
        </w:rPr>
        <w:t>pozostałych dopuszczalnych przedsięwzięć rewitalizacyjnych o charakterze uzupełniającym zidentyfikowanych w wyniku naboru podano, podobnie jak dla przedsięwzięć podstawowych, informacje o zakresie działań w ramach przedsięwzięcia, podmiocie realizującym, c</w:t>
      </w:r>
      <w:r>
        <w:rPr>
          <w:color w:val="000000"/>
          <w:u w:color="000000"/>
        </w:rPr>
        <w:t>elach, szacunkowej wartości, a także zgodności z celami operacyjnymi GPR. Są to trzy przedsięwzięcia infrastrukturalne – dwa w zakresie kulturalno-rekreacyjnym oraz jeden w zakresie gospodarki mieszkaniowej.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Realizacja projektów uzupełniających w dużym sto</w:t>
      </w:r>
      <w:r>
        <w:rPr>
          <w:color w:val="000000"/>
          <w:u w:color="000000"/>
        </w:rPr>
        <w:t>pniu zależeć będzie od możliwości finansowych Miasta i innych potencjalnych podmiotów jako ich realizatorów, w tym od dostępności zewnętrznych źródeł finansowania, Stanowią one jednak ważną wartość dodaną w prowadzonym procesie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Lis</w:t>
      </w:r>
      <w:r>
        <w:rPr>
          <w:b/>
          <w:color w:val="000000"/>
          <w:u w:color="000000"/>
        </w:rPr>
        <w:t>ta uzupełniających przedsięwzięć rewitalizacyjnych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3"/>
        <w:gridCol w:w="559"/>
        <w:gridCol w:w="218"/>
        <w:gridCol w:w="994"/>
        <w:gridCol w:w="1038"/>
        <w:gridCol w:w="1139"/>
        <w:gridCol w:w="806"/>
        <w:gridCol w:w="1081"/>
        <w:gridCol w:w="1038"/>
        <w:gridCol w:w="588"/>
        <w:gridCol w:w="341"/>
        <w:gridCol w:w="1727"/>
      </w:tblGrid>
      <w:tr w:rsidR="00A916A4">
        <w:trPr>
          <w:gridAfter w:val="1"/>
          <w:wAfter w:w="1527" w:type="dxa"/>
          <w:trHeight w:val="288"/>
        </w:trPr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79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0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618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gridAfter w:val="1"/>
          <w:wAfter w:w="1527" w:type="dxa"/>
          <w:trHeight w:val="636"/>
        </w:trPr>
        <w:tc>
          <w:tcPr>
            <w:tcW w:w="90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B1</w:t>
            </w:r>
          </w:p>
        </w:tc>
        <w:tc>
          <w:tcPr>
            <w:tcW w:w="79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618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Budowa infrastruktury sportowo-rekreacyjnej - Baseny sezonowe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gridAfter w:val="1"/>
          <w:wAfter w:w="1527" w:type="dxa"/>
          <w:trHeight w:val="876"/>
        </w:trPr>
        <w:tc>
          <w:tcPr>
            <w:tcW w:w="90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995" w:type="dxa"/>
            <w:gridSpan w:val="10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potrzeb mieszkańców, w tym </w:t>
            </w:r>
            <w:r>
              <w:t>wykluczonych i ze szczególnymi potrzebami oraz poprawa środowiska naturalnego i ładu przestrzennego obszaru rewitalizacji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gridAfter w:val="1"/>
          <w:wAfter w:w="1527" w:type="dxa"/>
          <w:trHeight w:val="723"/>
        </w:trPr>
        <w:tc>
          <w:tcPr>
            <w:tcW w:w="90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3.3</w:t>
            </w:r>
          </w:p>
        </w:tc>
        <w:tc>
          <w:tcPr>
            <w:tcW w:w="7995" w:type="dxa"/>
            <w:gridSpan w:val="10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Budowa i modernizacja infrastruktury społeczno-kulturalnej , </w:t>
            </w:r>
            <w:r>
              <w:t>sportowo-rekreacyjnej i dziedzictwa narodowego</w:t>
            </w:r>
          </w:p>
        </w:tc>
      </w:tr>
      <w:tr w:rsidR="00A916A4">
        <w:trPr>
          <w:gridAfter w:val="1"/>
          <w:wAfter w:w="1527" w:type="dxa"/>
          <w:trHeight w:val="705"/>
        </w:trPr>
        <w:tc>
          <w:tcPr>
            <w:tcW w:w="90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 3.5 </w:t>
            </w:r>
          </w:p>
        </w:tc>
        <w:tc>
          <w:tcPr>
            <w:tcW w:w="7995" w:type="dxa"/>
            <w:gridSpan w:val="10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Poprawa dostępności do infrastruktury publicznej dla osób ze szczególnymi potrzebami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gridAfter w:val="1"/>
          <w:wAfter w:w="1527" w:type="dxa"/>
          <w:trHeight w:val="540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 xml:space="preserve">Niedobór zagospodarowanej przestrzeni publicznej służącej aktywności </w:t>
            </w:r>
            <w:r>
              <w:t>społeczno-kulturalnej oraz integracji mieszkańców, w tym zielonej architektury i rekreacyjno-sportowej</w:t>
            </w:r>
          </w:p>
        </w:tc>
      </w:tr>
      <w:tr w:rsidR="00A916A4">
        <w:trPr>
          <w:gridAfter w:val="1"/>
          <w:wAfter w:w="1527" w:type="dxa"/>
          <w:trHeight w:val="276"/>
        </w:trPr>
        <w:tc>
          <w:tcPr>
            <w:tcW w:w="8895" w:type="dxa"/>
            <w:gridSpan w:val="11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Niedostateczna dostępność do infrastruktury publicznej dla osób ze szczególnymi potrzebami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gridAfter w:val="1"/>
          <w:wAfter w:w="1527" w:type="dxa"/>
          <w:trHeight w:val="3115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lastRenderedPageBreak/>
              <w:t>Akwen wodny Bugaj, w tym kąpielisko sezonowe "Słoneczko" motorycznie nie spełnia wymagań sanitarno-epidemiologicznych. Stan sanitarny wody w okresie letnim przekracza często dopuszczalne normy czystości wody. Sporządzona diagnoza wskazała na silne zapotrze</w:t>
            </w:r>
            <w:r>
              <w:t xml:space="preserve">bowanie mieszkańców obszaru rewitalizacji na zewnętrzną (na wolnym powietrzu) infrastrukturę rekreacji wodnej. </w:t>
            </w:r>
          </w:p>
          <w:p w:rsidR="00A916A4" w:rsidRDefault="00EC7227">
            <w:r>
              <w:t>Projekt przewiduje budowę trzech basenów sezonowych o konstrukcji stelażowej, zjeżdżalnię oraz wodny plac zabaw ze splash-parkiem. W okresie zim</w:t>
            </w:r>
            <w:r>
              <w:t xml:space="preserve">owym część infrastruktury wykorzystywana będzie na lodowisko.. </w:t>
            </w:r>
          </w:p>
          <w:p w:rsidR="00A916A4" w:rsidRDefault="00EC7227">
            <w:r>
              <w:t xml:space="preserve">Podmiot odpowiedzialny za realizację projektu – Ośrodek Sportu i Rekreacji w Piotrkowie Trybunalskim. Obiekt wyposażony będzie w niezbędne wyposażenie i elementy gwarantujące pełną dostępność </w:t>
            </w:r>
            <w:r>
              <w:t>obiektu dla osób ze specjalnymi potrzebami.</w:t>
            </w:r>
          </w:p>
        </w:tc>
      </w:tr>
      <w:tr w:rsidR="00A916A4">
        <w:trPr>
          <w:gridAfter w:val="1"/>
          <w:wAfter w:w="1527" w:type="dxa"/>
          <w:trHeight w:val="552"/>
        </w:trPr>
        <w:tc>
          <w:tcPr>
            <w:tcW w:w="2715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306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Podmiot realizujący projekt</w:t>
            </w:r>
          </w:p>
        </w:tc>
        <w:tc>
          <w:tcPr>
            <w:tcW w:w="217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94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gridAfter w:val="1"/>
          <w:wAfter w:w="1527" w:type="dxa"/>
          <w:trHeight w:val="1087"/>
        </w:trPr>
        <w:tc>
          <w:tcPr>
            <w:tcW w:w="2715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JS15 - Żwirki 6, dz. nr 177/11; oddziaływanie na cały or.</w:t>
            </w:r>
          </w:p>
        </w:tc>
        <w:tc>
          <w:tcPr>
            <w:tcW w:w="306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Ośrodek Sportu i Rekreacji w Piotrkowie Trybunalskim </w:t>
            </w:r>
          </w:p>
        </w:tc>
        <w:tc>
          <w:tcPr>
            <w:tcW w:w="217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8 907 000</w:t>
            </w:r>
          </w:p>
        </w:tc>
        <w:tc>
          <w:tcPr>
            <w:tcW w:w="94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2023 - 2024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Produkty projektu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201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gridAfter w:val="1"/>
          <w:wAfter w:w="1527" w:type="dxa"/>
          <w:trHeight w:val="768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wspartych obiektów infrastruktury (innych niż budynki mieszkalne) zlokalizowanych na </w:t>
            </w:r>
            <w:r>
              <w:t>rewitalizowanych obszarach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</w:t>
            </w:r>
          </w:p>
        </w:tc>
        <w:tc>
          <w:tcPr>
            <w:tcW w:w="2010" w:type="dxa"/>
            <w:gridSpan w:val="3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Protokół odbioru</w:t>
            </w:r>
          </w:p>
        </w:tc>
      </w:tr>
      <w:tr w:rsidR="00A916A4">
        <w:trPr>
          <w:gridAfter w:val="1"/>
          <w:wAfter w:w="1527" w:type="dxa"/>
          <w:trHeight w:val="971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Liczba obiektów dostosowanych do potrzeb osób z niepełnosprawnościami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szt.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</w:t>
            </w:r>
          </w:p>
        </w:tc>
        <w:tc>
          <w:tcPr>
            <w:tcW w:w="2010" w:type="dxa"/>
            <w:gridSpan w:val="3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Rezultaty projektu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201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gridAfter w:val="1"/>
          <w:wAfter w:w="1527" w:type="dxa"/>
          <w:trHeight w:val="773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Liczba ludności zamieszkującej obszar rewitalizacji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osób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18 716</w:t>
            </w:r>
          </w:p>
        </w:tc>
        <w:tc>
          <w:tcPr>
            <w:tcW w:w="201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Dane statystyczne Urzędu Miasta w Piotrkowie Trybunalskim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79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34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Nr proj.</w:t>
            </w:r>
          </w:p>
        </w:tc>
        <w:tc>
          <w:tcPr>
            <w:tcW w:w="79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Sfera</w:t>
            </w:r>
          </w:p>
        </w:tc>
        <w:tc>
          <w:tcPr>
            <w:tcW w:w="10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Typ proj.</w:t>
            </w:r>
          </w:p>
        </w:tc>
        <w:tc>
          <w:tcPr>
            <w:tcW w:w="618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Tytuł projektu</w:t>
            </w:r>
          </w:p>
        </w:tc>
      </w:tr>
      <w:tr w:rsidR="00A916A4">
        <w:trPr>
          <w:gridAfter w:val="1"/>
          <w:wAfter w:w="1527" w:type="dxa"/>
          <w:trHeight w:val="643"/>
        </w:trPr>
        <w:tc>
          <w:tcPr>
            <w:tcW w:w="90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B2</w:t>
            </w:r>
          </w:p>
        </w:tc>
        <w:tc>
          <w:tcPr>
            <w:tcW w:w="795" w:type="dxa"/>
            <w:gridSpan w:val="2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FP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I</w:t>
            </w:r>
          </w:p>
        </w:tc>
        <w:tc>
          <w:tcPr>
            <w:tcW w:w="6180" w:type="dxa"/>
            <w:gridSpan w:val="7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Mediateka - wieloformatowa projekcja multimedialna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Cel strategiczny GPR</w:t>
            </w:r>
          </w:p>
        </w:tc>
      </w:tr>
      <w:tr w:rsidR="00A916A4">
        <w:trPr>
          <w:gridAfter w:val="1"/>
          <w:wAfter w:w="1527" w:type="dxa"/>
          <w:trHeight w:val="972"/>
        </w:trPr>
        <w:tc>
          <w:tcPr>
            <w:tcW w:w="90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7995" w:type="dxa"/>
            <w:gridSpan w:val="10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Dostosowanie infrastruktury publicznej do </w:t>
            </w:r>
            <w:r>
              <w:t>potrzeb mieszkańców, w tym wykluczonych i ze szczególnymi potrzebami oraz poprawa środowiska naturalnego i ładu przestrzennego obszaru rewitalizacji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 w ramach celu strategicznego</w:t>
            </w:r>
          </w:p>
        </w:tc>
      </w:tr>
      <w:tr w:rsidR="00A916A4">
        <w:trPr>
          <w:gridAfter w:val="1"/>
          <w:wAfter w:w="1527" w:type="dxa"/>
          <w:trHeight w:val="504"/>
        </w:trPr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3.3</w:t>
            </w:r>
          </w:p>
        </w:tc>
        <w:tc>
          <w:tcPr>
            <w:tcW w:w="7995" w:type="dxa"/>
            <w:gridSpan w:val="10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Budowa i modernizacja infrastruktury </w:t>
            </w:r>
            <w:r>
              <w:t>społeczno-kulturalnej , sportowo-rekreacyjnej i dziedzictwa narodowego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problemu, jaki ma rozwiązać projekt</w:t>
            </w:r>
          </w:p>
        </w:tc>
      </w:tr>
      <w:tr w:rsidR="00A916A4">
        <w:trPr>
          <w:gridAfter w:val="1"/>
          <w:wAfter w:w="1527" w:type="dxa"/>
          <w:trHeight w:val="855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lastRenderedPageBreak/>
              <w:t xml:space="preserve">Niedobór zagospodarowanej przestrzeni publicznej służącej aktywności społeczno-kulturalnej oraz integracji mieszkańców, w tym zielonej </w:t>
            </w:r>
            <w:r>
              <w:t>architektury i rekreacyjno-sportowej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Opis projektowanych działań</w:t>
            </w:r>
          </w:p>
        </w:tc>
      </w:tr>
      <w:tr w:rsidR="00A916A4">
        <w:trPr>
          <w:gridAfter w:val="1"/>
          <w:wAfter w:w="1527" w:type="dxa"/>
          <w:trHeight w:val="7740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rPr>
                <w:color w:val="000000"/>
                <w:u w:color="000000"/>
              </w:rPr>
            </w:pPr>
            <w:r>
              <w:t>Projekt dotyczy modernizacji głównej siedziby Miejskiej Biblioteki Publicznej im. Adama Próchnika – Mediateki 800-lecia polegającą na stworzeniu wielkoformatowej powierzchni projekcji multi</w:t>
            </w:r>
            <w:r>
              <w:t xml:space="preserve">medialnej na fasadach budynku oraz postawienie przy Mediatece zadaszonego książkomatu. Budynek Mediateki 800-lecia jest trzykondygnacyjnym obiektem użyteczności publicznej, z czego jedna kondygnacja jest podziemna. </w:t>
            </w:r>
          </w:p>
          <w:p w:rsidR="00A916A4" w:rsidRDefault="00EC7227">
            <w:r>
              <w:t xml:space="preserve">Obiekt zaprojektowano i wybudowano w </w:t>
            </w:r>
            <w:r>
              <w:t>formie ksiąg ustawionych na półce, z których dwie otwierają się odpowiednio na Stare Miasto i w kierunku wschodnim połączono ciągiem komunikacyjnym wyznaczającym oś widokową na Zamek Królewski. Bryła budynku o wysokości 8,00 m i powierzchni całkowitej 7 44</w:t>
            </w:r>
            <w:r>
              <w:t>7,87 m</w:t>
            </w:r>
            <w:r>
              <w:rPr>
                <w:vertAlign w:val="superscript"/>
              </w:rPr>
              <w:t>2</w:t>
            </w:r>
            <w:r>
              <w:t xml:space="preserve">, usytuowana jest na placu pofranciszkańskim, nieopodal Rynku Trybunalskiego. Lokalizacja ta jest szczególna i niepowtarzalna – od strony zachodniej z okien Mediateki 800-lecia widać historyczną część Piotrkowa. Ponadto powstanie też niepowtarzalne </w:t>
            </w:r>
            <w:r>
              <w:t xml:space="preserve">miejsce do aranżowania wydarzeń kulturalnych i edukacyjnych czy eventowych. </w:t>
            </w:r>
          </w:p>
          <w:p w:rsidR="00A916A4" w:rsidRDefault="00EC7227">
            <w:r>
              <w:t>Projekt zakłada rozbudowanie Mediateki 800-lecia poprzez instalację na wszystkich szklanych częściach budynku (na wewnętrznych płaszczyznach szklanych elewacji) folii ciekłokrysta</w:t>
            </w:r>
            <w:r>
              <w:t xml:space="preserve">licznej i montażu urządzeń projektowych oraz wyposażenie instytucji kultury w nową usługę – możliwość odbioru zarezerwowanych wcześniej książek poza godzinami otwarcia placówki z książkomatu usytuowanego w przestrzeni wokół Mediateki. </w:t>
            </w:r>
          </w:p>
          <w:p w:rsidR="00A916A4" w:rsidRDefault="00EC7227">
            <w:r>
              <w:t xml:space="preserve">Realizacja projektu </w:t>
            </w:r>
            <w:r>
              <w:t>poprawi wyposażenie i ofertę Mediateki 800-lecia. Projekt zakłada zainstalowanie na częściach szklanych poszczególnych ścian budynku (poza częścią już wyposażoną w folię – świetliki i część I pietra po stronie zachodniej) folii ciekłokrystalicznej i montaż</w:t>
            </w:r>
            <w:r>
              <w:t xml:space="preserve"> urządzeń projektowych oraz postawienie od strony północnej książkomatu. Prace rewitalizacyjne będą polegały na:</w:t>
            </w:r>
          </w:p>
          <w:p w:rsidR="00A916A4" w:rsidRDefault="00EC7227">
            <w:r>
              <w:t>1. Przeprowadzeniu konsultacji z projektantami budynku oraz wykonawcą inwestycji w celu sporządzenia wytycznych do projektu budowy wielkoformat</w:t>
            </w:r>
            <w:r>
              <w:t>owej powierzchni projekcji multimedialnej na fasadach budynku oraz postawienie przy Mediatece zadaszonego książkomatu; § Przygotowanie projektu architektonicznego wielkoformatowej powierzchni projekcji multimedialnej na fasadach budynku oraz postawienie pr</w:t>
            </w:r>
            <w:r>
              <w:t>zy Mediatece zadaszonego książkomatu;</w:t>
            </w:r>
          </w:p>
          <w:p w:rsidR="00A916A4" w:rsidRDefault="00EC7227">
            <w:r>
              <w:t xml:space="preserve">2. Uzyskaniu wymaganych dokumentów/ekspertyz konserwatora WUOZŁ odnośnie możliwości oraz warunków postawienia w otoczeniu Mediateki książkomatu; </w:t>
            </w:r>
          </w:p>
          <w:p w:rsidR="00A916A4" w:rsidRDefault="00EC7227">
            <w:r>
              <w:t>3. Budowa wielkoformatowej powierzchni projekcji multimedialnej na fasad</w:t>
            </w:r>
            <w:r>
              <w:t xml:space="preserve">ach budynku oraz postawienie przy Mediatece zadaszonego książkomatu; </w:t>
            </w:r>
          </w:p>
          <w:p w:rsidR="00A916A4" w:rsidRDefault="00EC7227">
            <w:r>
              <w:t>4. Sporządzenie dokumentacji powykonawczej i odbiór prac. Podmiotem odpowiedzialnym za realizację projektu będzie Urząd Miasta w Piotrkowie Trybun</w:t>
            </w:r>
            <w:r>
              <w:rPr>
                <w:sz w:val="20"/>
              </w:rPr>
              <w:t>alskim.</w:t>
            </w:r>
          </w:p>
        </w:tc>
      </w:tr>
      <w:tr w:rsidR="00A916A4">
        <w:trPr>
          <w:gridAfter w:val="1"/>
          <w:wAfter w:w="1527" w:type="dxa"/>
          <w:trHeight w:val="552"/>
        </w:trPr>
        <w:tc>
          <w:tcPr>
            <w:tcW w:w="2715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Miejsce realizacji projektu</w:t>
            </w:r>
          </w:p>
        </w:tc>
        <w:tc>
          <w:tcPr>
            <w:tcW w:w="306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Pod</w:t>
            </w:r>
            <w:r>
              <w:t>miot realizujący projekt</w:t>
            </w:r>
          </w:p>
        </w:tc>
        <w:tc>
          <w:tcPr>
            <w:tcW w:w="217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Szacunkowy koszt projektu netto[zł]</w:t>
            </w:r>
          </w:p>
        </w:tc>
        <w:tc>
          <w:tcPr>
            <w:tcW w:w="94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Orientacyjny okres realizacji [rok od-do]</w:t>
            </w:r>
          </w:p>
        </w:tc>
      </w:tr>
      <w:tr w:rsidR="00A916A4">
        <w:trPr>
          <w:gridAfter w:val="1"/>
          <w:wAfter w:w="1527" w:type="dxa"/>
          <w:trHeight w:val="876"/>
        </w:trPr>
        <w:tc>
          <w:tcPr>
            <w:tcW w:w="2715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JS1 - M. Curie-Skłodowskiej 3 , dz. nr 151 0b 21; oddziaływanie na cały or. </w:t>
            </w:r>
          </w:p>
        </w:tc>
        <w:tc>
          <w:tcPr>
            <w:tcW w:w="306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Urząd Miasta w Piotrkowie Trybunalskim</w:t>
            </w:r>
          </w:p>
        </w:tc>
        <w:tc>
          <w:tcPr>
            <w:tcW w:w="217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15 000 000</w:t>
            </w:r>
          </w:p>
        </w:tc>
        <w:tc>
          <w:tcPr>
            <w:tcW w:w="94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2025-2026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Produkty </w:t>
            </w:r>
            <w:r>
              <w:t>projektu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Nazwa wskaźnika</w:t>
            </w:r>
          </w:p>
        </w:tc>
        <w:tc>
          <w:tcPr>
            <w:tcW w:w="117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J.m.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Wartość docelowa</w:t>
            </w:r>
          </w:p>
        </w:tc>
        <w:tc>
          <w:tcPr>
            <w:tcW w:w="201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Źródło danych</w:t>
            </w:r>
          </w:p>
        </w:tc>
      </w:tr>
      <w:tr w:rsidR="00A916A4">
        <w:trPr>
          <w:gridAfter w:val="1"/>
          <w:wAfter w:w="1527" w:type="dxa"/>
          <w:trHeight w:val="672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Liczba obiektów kulturalnych i turystycznych objętych wsparciem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szt.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10" w:type="dxa"/>
            <w:gridSpan w:val="3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Protokół odbioru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8895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Rezultaty projektu</w:t>
            </w:r>
          </w:p>
        </w:tc>
      </w:tr>
      <w:tr w:rsidR="00A916A4">
        <w:trPr>
          <w:gridAfter w:val="1"/>
          <w:wAfter w:w="1527" w:type="dxa"/>
          <w:trHeight w:val="288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Nazwa wskaźnika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 J.m.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Wartość </w:t>
            </w:r>
            <w:r>
              <w:rPr>
                <w:sz w:val="24"/>
              </w:rPr>
              <w:lastRenderedPageBreak/>
              <w:t>docelowa</w:t>
            </w:r>
          </w:p>
        </w:tc>
        <w:tc>
          <w:tcPr>
            <w:tcW w:w="2010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lastRenderedPageBreak/>
              <w:t>Źródło danych</w:t>
            </w:r>
          </w:p>
        </w:tc>
      </w:tr>
      <w:tr w:rsidR="00A916A4">
        <w:trPr>
          <w:gridAfter w:val="1"/>
          <w:wAfter w:w="1527" w:type="dxa"/>
          <w:trHeight w:val="1018"/>
        </w:trPr>
        <w:tc>
          <w:tcPr>
            <w:tcW w:w="3780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Liczba osób korzystających z </w:t>
            </w:r>
            <w:r>
              <w:rPr>
                <w:sz w:val="24"/>
              </w:rPr>
              <w:t>nowej/ zmodernizowanej infrastruktury</w:t>
            </w:r>
          </w:p>
        </w:tc>
        <w:tc>
          <w:tcPr>
            <w:tcW w:w="11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osób</w:t>
            </w:r>
          </w:p>
        </w:tc>
        <w:tc>
          <w:tcPr>
            <w:tcW w:w="193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5 000</w:t>
            </w:r>
          </w:p>
        </w:tc>
        <w:tc>
          <w:tcPr>
            <w:tcW w:w="201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24"/>
              </w:rPr>
              <w:t>Dane ankietowe</w:t>
            </w:r>
          </w:p>
        </w:tc>
      </w:tr>
      <w:tr w:rsidR="00A916A4">
        <w:trPr>
          <w:trHeight w:val="288"/>
        </w:trPr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Przypis:</w:t>
            </w:r>
          </w:p>
        </w:tc>
        <w:tc>
          <w:tcPr>
            <w:tcW w:w="57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00" w:type="dxa"/>
            <w:gridSpan w:val="10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88"/>
        </w:trPr>
        <w:tc>
          <w:tcPr>
            <w:tcW w:w="9360" w:type="dxa"/>
            <w:gridSpan w:val="1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i/>
                <w:sz w:val="24"/>
              </w:rPr>
              <w:t>Typ projektu: „I” – infrastrukturalny; „N” – nieinfrastrukturalny (miękki)</w:t>
            </w:r>
          </w:p>
        </w:tc>
      </w:tr>
      <w:tr w:rsidR="00A916A4">
        <w:trPr>
          <w:trHeight w:val="288"/>
        </w:trPr>
        <w:tc>
          <w:tcPr>
            <w:tcW w:w="2835" w:type="dxa"/>
            <w:gridSpan w:val="1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i/>
                <w:sz w:val="24"/>
              </w:rPr>
              <w:t>Sfera oddziaływania projektu:</w:t>
            </w:r>
          </w:p>
        </w:tc>
      </w:tr>
      <w:tr w:rsidR="00A916A4">
        <w:trPr>
          <w:trHeight w:val="288"/>
        </w:trPr>
        <w:tc>
          <w:tcPr>
            <w:tcW w:w="10695" w:type="dxa"/>
            <w:gridSpan w:val="1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S - społeczna; G - gospodarcza; Ś - środowiskowa; FP - funkcjonalno- </w:t>
            </w:r>
            <w:r>
              <w:rPr>
                <w:sz w:val="24"/>
              </w:rPr>
              <w:t>przestrzenna; T -techniczna</w:t>
            </w:r>
          </w:p>
        </w:tc>
      </w:tr>
      <w:tr w:rsidR="00A916A4">
        <w:trPr>
          <w:trHeight w:val="288"/>
        </w:trPr>
        <w:tc>
          <w:tcPr>
            <w:tcW w:w="2835" w:type="dxa"/>
            <w:gridSpan w:val="1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i/>
                <w:sz w:val="24"/>
              </w:rPr>
              <w:t>Inne źródła finansowania:</w:t>
            </w:r>
          </w:p>
        </w:tc>
      </w:tr>
      <w:tr w:rsidR="00A916A4">
        <w:trPr>
          <w:trHeight w:val="288"/>
        </w:trPr>
        <w:tc>
          <w:tcPr>
            <w:tcW w:w="10695" w:type="dxa"/>
            <w:gridSpan w:val="1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FP - Fundusz Pracy; PR - programy rządowe; NFOŚiGW - Narodowy Fund Ochrony Środowiska i Gospodarki Wodnej,</w:t>
            </w:r>
          </w:p>
        </w:tc>
      </w:tr>
      <w:tr w:rsidR="00A916A4">
        <w:trPr>
          <w:trHeight w:val="288"/>
        </w:trPr>
        <w:tc>
          <w:tcPr>
            <w:tcW w:w="2085" w:type="dxa"/>
            <w:gridSpan w:val="1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BM - budżet Miasta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8.3.</w:t>
      </w:r>
      <w:r>
        <w:rPr>
          <w:b/>
          <w:color w:val="000000"/>
          <w:u w:color="000000"/>
        </w:rPr>
        <w:t xml:space="preserve">Inne zagadnienia dotyczące realizacji przedsięwzięć </w:t>
      </w:r>
      <w:r>
        <w:rPr>
          <w:b/>
          <w:color w:val="000000"/>
          <w:u w:color="000000"/>
        </w:rPr>
        <w:t>rewitalizacyjnych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Prace konserwatorskie, restauratorskie, roboty budowlane, badania konserwatorskie i restauratorskie , a także inne działania, które mogłoby prowadzić do naruszenia lub zmiany wyglądu obiektów i terenów zabytkowych wpisanych do rejestru</w:t>
      </w:r>
      <w:r>
        <w:rPr>
          <w:color w:val="000000"/>
          <w:u w:color="000000"/>
        </w:rPr>
        <w:t xml:space="preserve"> zabytków, ujętych w ewidencji zabytków lub wskazane do objęcia ochroną ustaleniami w miejscowym planie zagospodarowania przestrzennego albo w decyzji o ustaleniu lokalizacji inwestycji celu publicznego, będą prowadzone zgodnie z wymogami odrębnych przepis</w:t>
      </w:r>
      <w:r>
        <w:rPr>
          <w:color w:val="000000"/>
          <w:u w:color="000000"/>
        </w:rPr>
        <w:t>ów dotyczących ochrony zabytków.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przypadku </w:t>
      </w:r>
      <w:r>
        <w:rPr>
          <w:b/>
          <w:color w:val="000000"/>
          <w:u w:color="000000"/>
        </w:rPr>
        <w:t xml:space="preserve">obiektów i terenów objętych ochroną zabytków </w:t>
      </w:r>
      <w:r>
        <w:rPr>
          <w:color w:val="000000"/>
          <w:u w:color="000000"/>
        </w:rPr>
        <w:t>przed ewentualnymi planowanymi pracami polegającymi m. in. na remoncie, budowie, modernizacji, iluminacji świetlnej, zagospodarowaniu terenu oraz rewaloryzacji parków</w:t>
      </w:r>
      <w:r>
        <w:rPr>
          <w:color w:val="000000"/>
          <w:u w:color="000000"/>
        </w:rPr>
        <w:t xml:space="preserve"> skwerów zieleni, Gmina każdorazowo wystąpi do Wojewódzkiego Konserwatora Zabytków o </w:t>
      </w:r>
      <w:r>
        <w:rPr>
          <w:b/>
          <w:color w:val="000000"/>
          <w:u w:color="000000"/>
        </w:rPr>
        <w:t>zalecenia konserwatorskie</w:t>
      </w:r>
      <w:r>
        <w:rPr>
          <w:color w:val="000000"/>
          <w:u w:color="000000"/>
        </w:rPr>
        <w:t xml:space="preserve">. Wskazane prace będą prowadzone </w:t>
      </w:r>
      <w:r>
        <w:rPr>
          <w:b/>
          <w:color w:val="000000"/>
          <w:u w:color="000000"/>
        </w:rPr>
        <w:t>zgodnie z wymogami odrębnych przepisów dotyczących ochrony zabytków</w:t>
      </w:r>
      <w:r>
        <w:rPr>
          <w:color w:val="000000"/>
          <w:u w:color="000000"/>
        </w:rPr>
        <w:t>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 xml:space="preserve">Na wyznaczonym podobszarze rewitalizacji </w:t>
      </w:r>
      <w:r>
        <w:rPr>
          <w:color w:val="000000"/>
          <w:u w:color="000000"/>
        </w:rPr>
        <w:t>JS13 i JS15, Wojewoda Łódzki ustalił, Decyzją Nr 24/2022 z 30 listopada 2022 r., lokalizację inwestycji towarzyszącej inwestycjom w zakresie terminalu regazyfikacyjnego skroplonego gazu ziemnego w Świnoujściu dla inwestycji pn.: Budowa gazociągu Kalisz – S</w:t>
      </w:r>
      <w:r>
        <w:rPr>
          <w:color w:val="000000"/>
          <w:u w:color="000000"/>
        </w:rPr>
        <w:t>ieradz – Meszcze wraz z infrastrukturą niezbędną do jego obsługi na terenie województwa łódzkiego i wielkopolskiego” dla zadania inwestycyjnego pn.: „Budowa gazociągu wysokiego ciśnienia MOP 6,3 MPa DN500 relacji Sieradz – Piotrków Trybunalski” – dla odcin</w:t>
      </w:r>
      <w:r>
        <w:rPr>
          <w:color w:val="000000"/>
          <w:u w:color="000000"/>
        </w:rPr>
        <w:t>ka gazociągu nr 1 o długości ok. 28,9 km od pkt „Y” do pkt „Z” wraz z infrastrukturą niezbędną do jego obsługi, przewidzianej do realizacji na nieruchomościach w gminach Wola Krzysztoporska, Rozprza i Sulejów, w powiecie piotrkowskim oraz w Mieście Piotrko</w:t>
      </w:r>
      <w:r>
        <w:rPr>
          <w:color w:val="000000"/>
          <w:u w:color="000000"/>
        </w:rPr>
        <w:t>wie Trybunalskim. W związku z powyższym stwierdza się, że planowane w podobszarach JS13 i JS15 przedsięwzięcia rewitalizacyjne nie będą kolidowały z realizację ww. inwestycji celu publicznego.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W ramach przedsięwzięcia A5 i A6 dwie inwestycje realizowane</w:t>
      </w:r>
      <w:r>
        <w:rPr>
          <w:color w:val="000000"/>
          <w:u w:color="000000"/>
        </w:rPr>
        <w:t xml:space="preserve"> będą po północnej stronie granicy podobszaru rewitalizacji JS1 (Al. Wojska Polskiego numery: 29A, 33. Działki, na których realizowane będą w/w przedsięwzięcia przynależą do podobszaru rewitalizacji JS1. Natomiast na ul Wojska Polskiego 73 działka nieznacz</w:t>
      </w:r>
      <w:r>
        <w:rPr>
          <w:color w:val="000000"/>
          <w:u w:color="000000"/>
        </w:rPr>
        <w:t>nie przekracza obszarowo północną granicę JS1 lecz administracyjnie należy do JS1. W tym przypadku specyfika przedsięwzięcia A5 uzasadnia zastosowanie odstępstwa, o którym mowa w art. 15 ust 3 ustawy o rewitalizacji. Przedsięwzięcie A5, realizowane m.in. n</w:t>
      </w:r>
      <w:r>
        <w:rPr>
          <w:color w:val="000000"/>
          <w:u w:color="000000"/>
        </w:rPr>
        <w:t>a działce pod adresem Wojska Polskiego 73 służy realizacji celów i kierunków działania Programu.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Stwierdza się, że na podstawie map zagrożenia powodziowego obszar rewitalizacji, na którym realizowane będą przedsięwzięcia wymieniowe w rozdz. 8.2 i 8.3 zn</w:t>
      </w:r>
      <w:r>
        <w:rPr>
          <w:color w:val="000000"/>
          <w:u w:color="000000"/>
        </w:rPr>
        <w:t>ajduje się całkowicie poza obszarem szczególnego zagrożenia powodzią, na którym nie obowiązują zakazy wymienione w art. 77 ust 1 pkt 3 ustawy Prawo Wodne.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9. </w:t>
      </w:r>
      <w:r>
        <w:rPr>
          <w:b/>
          <w:color w:val="000000"/>
          <w:u w:color="000000"/>
        </w:rPr>
        <w:t>Mechanizmy zapewnienia komplementarności przedsięwzięć i kierunków działań rewitalizacyjnych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9.1.</w:t>
      </w:r>
      <w:r>
        <w:rPr>
          <w:b/>
          <w:color w:val="000000"/>
          <w:u w:color="000000"/>
        </w:rPr>
        <w:t>M</w:t>
      </w:r>
      <w:r>
        <w:rPr>
          <w:b/>
          <w:color w:val="000000"/>
          <w:u w:color="000000"/>
        </w:rPr>
        <w:t>echanizmy integrowania kierunków działań oraz przedsięwzięć rewitalizacyjnych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Zachowanie komplementarności projektów rewitalizacyjnych w różnych wymiarach jest koniecznym wymogiem dla wspierania projektów w ramach wsparcia unijnego. Poszczególne wymiary zo</w:t>
      </w:r>
      <w:r>
        <w:rPr>
          <w:color w:val="000000"/>
          <w:u w:color="000000"/>
        </w:rPr>
        <w:t>stały przedstawione w grafice poniżej.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5479420" cy="4582165"/>
            <wp:effectExtent l="0" t="0" r="0" b="0"/>
            <wp:docPr id="100063" name="Obraz 10006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r:embed="rId68" r:link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79420" cy="45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9.2.</w:t>
      </w:r>
      <w:r>
        <w:rPr>
          <w:b/>
          <w:color w:val="000000"/>
          <w:u w:color="000000"/>
        </w:rPr>
        <w:t xml:space="preserve">Komplementarność przestrzenna między przedsięwzięciami realizowanymi na obszarze rewitalizacji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Komplementarność </w:t>
      </w:r>
      <w:r>
        <w:rPr>
          <w:b/>
          <w:color w:val="000000"/>
          <w:u w:color="000000"/>
        </w:rPr>
        <w:t xml:space="preserve">przestrzenna </w:t>
      </w:r>
      <w:r>
        <w:rPr>
          <w:color w:val="000000"/>
          <w:u w:color="000000"/>
        </w:rPr>
        <w:t>została zachowana dzięki skupieniu się wszystkich projektów na obszarze rewitalizacji</w:t>
      </w:r>
      <w:r>
        <w:rPr>
          <w:color w:val="000000"/>
          <w:u w:color="000000"/>
        </w:rPr>
        <w:t>. Projekty rewitalizacyjne z przedsięwzięć podstawowych swym zasięgiem oddziaływania obejmują cały obszar rewitalizacji. Projekty infrastrukturalne dotyczą inwestycji na obszarze rewitalizacji i przywróceniu lub nadaniu nowych funkcji zdegradowanym przestr</w:t>
      </w:r>
      <w:r>
        <w:rPr>
          <w:color w:val="000000"/>
          <w:u w:color="000000"/>
        </w:rPr>
        <w:t>zeniom. Natomiast projekty o charakterze społecznym mają większy zasięg oddziaływania, który może wychodzić poza obszar rewitalizacji, celem prowadzenie zrównoważonego rozwoju całego obszaru Miasta. Dlatego zasięg przestrzenny projektów miękkich (społeczny</w:t>
      </w:r>
      <w:r>
        <w:rPr>
          <w:color w:val="000000"/>
          <w:u w:color="000000"/>
        </w:rPr>
        <w:t>ch), jak i twardych o charakterze przestrzenno-funkcjonalnym, środowiskowym, technicznym, czy gospodarczym pokrywają się przestrzennie i odnoszą się do kompleksowej rewitalizacji społeczno-gospodarczej obszaru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We wszystkich podobszarach dzia</w:t>
      </w:r>
      <w:r>
        <w:rPr>
          <w:color w:val="000000"/>
          <w:u w:color="000000"/>
        </w:rPr>
        <w:t>łania skupiają się również na budowie lub modernizacji otwartych przestrzeni publicznych służących realizacji nowych funkcji społecznych, dostępnych dla wszystkich użytkowników, tworząc ciąg projektów o charakterze kluczowym dla całego obszaru rewitalizacj</w:t>
      </w:r>
      <w:r>
        <w:rPr>
          <w:color w:val="000000"/>
          <w:u w:color="000000"/>
        </w:rPr>
        <w:t>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9.3.</w:t>
      </w:r>
      <w:r>
        <w:rPr>
          <w:b/>
          <w:color w:val="000000"/>
          <w:u w:color="000000"/>
        </w:rPr>
        <w:t>Komplementarność problemowa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Komplementarność </w:t>
      </w:r>
      <w:r>
        <w:rPr>
          <w:b/>
          <w:color w:val="000000"/>
          <w:u w:color="000000"/>
        </w:rPr>
        <w:t xml:space="preserve">problemowa </w:t>
      </w:r>
      <w:r>
        <w:rPr>
          <w:color w:val="000000"/>
          <w:u w:color="000000"/>
        </w:rPr>
        <w:t xml:space="preserve">przedsięwzięć rewitalizacyjnych również została zachowana. GPR obejmuje wszystkie sfery działań rewitalizacyjnych wyrażone w projektach rewitalizacyjnych, a są to sfera społeczna, gospodarcza, przestrzenno-funkcjonalna, techniczna i środowiskowa.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Zaplanow</w:t>
      </w:r>
      <w:r>
        <w:rPr>
          <w:color w:val="000000"/>
          <w:u w:color="000000"/>
        </w:rPr>
        <w:t>ane przedsięwzięcia odnoszą do wszystkich z wymienionych sfer prowadząc do przemiany społeczno-gospodarczej obszaru rewitalizacji. Projekty wzajemnie się uzupełniają i łącznie oddziaływają na obszar we wszystkich aspektach rewitalizacji prowadząc do skutec</w:t>
      </w:r>
      <w:r>
        <w:rPr>
          <w:color w:val="000000"/>
          <w:u w:color="000000"/>
        </w:rPr>
        <w:t>znego i kompleksowego wyjścia z sytuacji kryzysowej obszarów zdegradowanych.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Grupę docelową wszystkich przedsięwzięć rewitalizacyjnych Programu stanowią interesariusze rewitalizacji, w szczególności: mieszkańcy obszaru rewitalizacji, właściciele, użytkowni</w:t>
      </w:r>
      <w:r>
        <w:rPr>
          <w:color w:val="000000"/>
          <w:u w:color="000000"/>
        </w:rPr>
        <w:t xml:space="preserve">cy wieczyści nieruchomości i inne podmioty zdefiniowane w rozdz. 2 pkt 3), w tym osoby ze szczególnymi potrzebami. Opis działań </w:t>
      </w:r>
      <w:r>
        <w:rPr>
          <w:color w:val="000000"/>
          <w:u w:color="000000"/>
        </w:rPr>
        <w:lastRenderedPageBreak/>
        <w:t>zapewniających dostępność osobom ze szczególnymi potrzebami np. likwidację barier architektonicznych poprzez dostosowanie się do</w:t>
      </w:r>
      <w:r>
        <w:rPr>
          <w:color w:val="000000"/>
          <w:u w:color="000000"/>
        </w:rPr>
        <w:t xml:space="preserve"> aktualnych przepisów prawa w tym odpowiednie oznakowanie i użycie materiałów budowlanych dedykowanych osobom ze szczególnymi potrzebami zawarto w rozdz. 8.1 i 8.2, w ramach przedsięwzięć A6, A7, A8,A9, A10, A13, A14, A16, A18, A20 i B1.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Powiązania zaplano</w:t>
      </w:r>
      <w:r>
        <w:rPr>
          <w:color w:val="000000"/>
          <w:u w:color="000000"/>
        </w:rPr>
        <w:t>wanych przedsięwzięć rewitalizacyjnych z zdiagnozowanymi problemami oraz wyznaczonymi w Programie kierunkami działań przedstawiono na poniższej macierzy.</w:t>
      </w:r>
    </w:p>
    <w:p w:rsidR="00A77B3E" w:rsidRDefault="00A77B3E">
      <w:pPr>
        <w:spacing w:before="120" w:after="120"/>
        <w:ind w:left="283" w:firstLine="227"/>
        <w:rPr>
          <w:color w:val="000000"/>
          <w:u w:color="000000"/>
        </w:rPr>
        <w:sectPr w:rsidR="00A77B3E">
          <w:footerReference w:type="default" r:id="rId70"/>
          <w:endnotePr>
            <w:numFmt w:val="decimal"/>
          </w:endnotePr>
          <w:pgSz w:w="11906" w:h="16838"/>
          <w:pgMar w:top="850" w:right="850" w:bottom="1417" w:left="850" w:header="708" w:footer="708" w:gutter="0"/>
          <w:pgNumType w:start="1"/>
          <w:cols w:space="708"/>
          <w:docGrid w:linePitch="360"/>
        </w:sectPr>
      </w:pP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lastRenderedPageBreak/>
        <w:t xml:space="preserve">Tabela  - </w:t>
      </w:r>
      <w:r>
        <w:rPr>
          <w:b/>
          <w:color w:val="000000"/>
          <w:u w:color="000000"/>
        </w:rPr>
        <w:t>Macierz powiązań problemów z przedsięwzięciami rewitalizacyjnymi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71"/>
        <w:gridCol w:w="713"/>
        <w:gridCol w:w="4482"/>
        <w:gridCol w:w="1148"/>
        <w:gridCol w:w="1148"/>
        <w:gridCol w:w="1148"/>
        <w:gridCol w:w="1148"/>
        <w:gridCol w:w="1148"/>
        <w:gridCol w:w="1148"/>
      </w:tblGrid>
      <w:tr w:rsidR="00A916A4">
        <w:trPr>
          <w:trHeight w:val="1018"/>
        </w:trPr>
        <w:tc>
          <w:tcPr>
            <w:tcW w:w="14850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MACIERZ ZDIAGNOZOWANYCH PROBLEMÓW W PODOBSZARACH OR I ZAPLANOWANYCH PROJEKTÓW REWITALIZACYJNYCH</w:t>
            </w:r>
          </w:p>
        </w:tc>
      </w:tr>
      <w:tr w:rsidR="00A916A4">
        <w:trPr>
          <w:trHeight w:val="330"/>
        </w:trPr>
        <w:tc>
          <w:tcPr>
            <w:tcW w:w="3165" w:type="dxa"/>
            <w:vMerge w:val="restart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Zdiagnozowany stan kryzysowy</w:t>
            </w:r>
          </w:p>
        </w:tc>
        <w:tc>
          <w:tcPr>
            <w:tcW w:w="5025" w:type="dxa"/>
            <w:gridSpan w:val="2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KIERUNKI DZIAŁAŃ</w:t>
            </w:r>
          </w:p>
        </w:tc>
        <w:tc>
          <w:tcPr>
            <w:tcW w:w="6660" w:type="dxa"/>
            <w:gridSpan w:val="6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LOKALIZACJA DZIAŁAŃ - Podobszary rewitalizacji</w:t>
            </w:r>
          </w:p>
        </w:tc>
      </w:tr>
      <w:tr w:rsidR="00A916A4">
        <w:trPr>
          <w:trHeight w:val="276"/>
        </w:trPr>
        <w:tc>
          <w:tcPr>
            <w:tcW w:w="3165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5025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 ŚRÓDMIEŚCIE</w:t>
            </w: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JS13 BUGAJ</w:t>
            </w: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JS15 ŻWIRKI</w:t>
            </w:r>
          </w:p>
        </w:tc>
      </w:tr>
      <w:tr w:rsidR="00A916A4">
        <w:trPr>
          <w:trHeight w:val="735"/>
        </w:trPr>
        <w:tc>
          <w:tcPr>
            <w:tcW w:w="3165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5025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Nr projektu odpowiadającego na zdiagnozowane problemy</w:t>
            </w: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Nr projektu odpowiadającego na zdiagnozowane problemy</w:t>
            </w: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Nr projektu odpowiadającego na zdiagnozowane problemy</w:t>
            </w:r>
          </w:p>
        </w:tc>
      </w:tr>
      <w:tr w:rsidR="00A916A4">
        <w:trPr>
          <w:trHeight w:val="276"/>
        </w:trPr>
        <w:tc>
          <w:tcPr>
            <w:tcW w:w="3165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5025" w:type="dxa"/>
            <w:gridSpan w:val="2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"MIĘKKI"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"TWARDY"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"MIĘKKI"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"TWARDY"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"MIĘKKI"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"TWARDY"</w:t>
            </w:r>
          </w:p>
        </w:tc>
      </w:tr>
      <w:tr w:rsidR="00A916A4">
        <w:trPr>
          <w:trHeight w:val="276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Sfera społeczna</w:t>
            </w: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335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1272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Problemy demograficzne (Starzenie społeczeństwa, depopulacja itp.)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1.1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Wspieranie i inicjowanie działań zmierzających do zwiększenie dostępności do usług społecznych dla osób zagrożonych wykluczeniem społecznym, w tym </w:t>
            </w:r>
            <w:r>
              <w:rPr>
                <w:sz w:val="18"/>
              </w:rPr>
              <w:t>osób ze szczególnymi potrzebami</w:t>
            </w: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nd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272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Problemy dotyczące rynku pracy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1.2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Rozwój lokalnego rynku pracy i aktywizacja osób bezrobotnych, wsparcie w aktywnym poszukiwaniu pracy dla osób znajdujących się w szczególnej sytuacji na rynku pracy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A16,A18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A16,A18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A16,A18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828"/>
        </w:trPr>
        <w:tc>
          <w:tcPr>
            <w:tcW w:w="316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Niski poziom samowystarczalności ekonomicznej i samodzielności mieszkańców, zagrożenia wykluczenia społecznego i dysfunkcyjności w rodzinie</w:t>
            </w: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1.1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 xml:space="preserve">Wspieranie i inicjowanie działań zmierzających do zwiększenie dostępności do usług </w:t>
            </w:r>
            <w:r>
              <w:rPr>
                <w:sz w:val="16"/>
              </w:rPr>
              <w:t>społecznych dla osób zagrożonych wykluczeniem społecznym, w tym osób ze szczególnymi potrzebami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A16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684"/>
        </w:trPr>
        <w:tc>
          <w:tcPr>
            <w:tcW w:w="316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1.3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Wspieranie działań na rzecz integracji społecznej oraz rozwój inicjatyw i działań społeczno-kulturalnych w istniejącej lub nowej </w:t>
            </w:r>
            <w:r>
              <w:rPr>
                <w:sz w:val="18"/>
              </w:rPr>
              <w:t>infrastrukturze</w:t>
            </w:r>
          </w:p>
        </w:tc>
        <w:tc>
          <w:tcPr>
            <w:tcW w:w="111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A11,A12, A17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A11,A12, A17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A11,A12, A17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272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Niskie kompetencje rodzicielskie, niedostateczne więzi rodzinne oraz problemy dotyczące przemocy w rodzinie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1.3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Wspieranie działań na rzecz integracji społecznej oraz rozwój inicjatyw i działań </w:t>
            </w:r>
            <w:r>
              <w:rPr>
                <w:sz w:val="18"/>
              </w:rPr>
              <w:t>społeczno-kulturalnych w istniejącej lub nowej infrastrukturze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2220" w:type="dxa"/>
            <w:gridSpan w:val="2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nd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272"/>
        </w:trPr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lastRenderedPageBreak/>
              <w:t xml:space="preserve">Niski poziom bezpieczeństwa publicznego, </w:t>
            </w:r>
          </w:p>
        </w:tc>
        <w:tc>
          <w:tcPr>
            <w:tcW w:w="6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1.4</w:t>
            </w:r>
          </w:p>
        </w:tc>
        <w:tc>
          <w:tcPr>
            <w:tcW w:w="43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Zwiększenie poziomu bezpieczeństwa na obszarze rewitalizacji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A4</w:t>
            </w:r>
          </w:p>
        </w:tc>
        <w:tc>
          <w:tcPr>
            <w:tcW w:w="4440" w:type="dxa"/>
            <w:gridSpan w:val="4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nd</w:t>
            </w:r>
          </w:p>
        </w:tc>
      </w:tr>
      <w:tr w:rsidR="00A916A4">
        <w:trPr>
          <w:trHeight w:val="1380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Niedostateczna oferta (kulturalna, sportowa, rekreacyjna) </w:t>
            </w:r>
            <w:r>
              <w:rPr>
                <w:sz w:val="18"/>
              </w:rPr>
              <w:t>spędzenia czasu wolnego mieszkańców</w:t>
            </w:r>
          </w:p>
        </w:tc>
        <w:tc>
          <w:tcPr>
            <w:tcW w:w="69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1.3</w:t>
            </w:r>
          </w:p>
        </w:tc>
        <w:tc>
          <w:tcPr>
            <w:tcW w:w="433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Wspieranie działań na rzecz integracji społecznej oraz rozwój inicjatyw i działań społeczno-kulturalnych w istniejącej lub nowej infrastrukturze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380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Słaba aktywność organizacji pozarządowych </w:t>
            </w:r>
            <w:r>
              <w:rPr>
                <w:sz w:val="18"/>
              </w:rPr>
              <w:t>i brak ich wsparcia finansowego, lokalowego ze strony urzędu miasta</w:t>
            </w:r>
          </w:p>
        </w:tc>
        <w:tc>
          <w:tcPr>
            <w:tcW w:w="69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33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A1,A11, 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A1.A11, 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A1,A11. 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272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Słaba integracja międzyludzka oraz niezadawalająca współpraca instytucji publicznych z mieszkańcami</w:t>
            </w:r>
          </w:p>
        </w:tc>
        <w:tc>
          <w:tcPr>
            <w:tcW w:w="69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433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A11,A12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76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t>Pozostałe sfery</w:t>
            </w: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335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276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Gospodarcza</w:t>
            </w: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335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1080"/>
        </w:trPr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Niski poziom przedsiębiorczości, niedostateczne wsparcie przedsiębiorczości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2.1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Rozwój lokalnej przedsiębiorczości poprzez zapewnienie odpowiedniej infrastruktury technicznej i wsparcie nowo powstających i rozwijających się </w:t>
            </w:r>
            <w:r>
              <w:rPr>
                <w:sz w:val="18"/>
              </w:rPr>
              <w:t>firm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A19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A19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A19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264"/>
        </w:trPr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Środowiskowa</w:t>
            </w: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335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780"/>
        </w:trPr>
        <w:tc>
          <w:tcPr>
            <w:tcW w:w="3165" w:type="dxa"/>
            <w:vMerge w:val="restart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Wysoki poziom zanieczyszczenia powietrza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3.1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Tworzenie i modernizacja funkcjonalna przestrzeni publicznych wraz z działaniami na rzecz polepszenia środowiska, dostępności do mediów i poprawy ładu przestrzennego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A2,A3,A5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A2,A3,A5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A2,A3,A5</w:t>
            </w:r>
          </w:p>
        </w:tc>
      </w:tr>
      <w:tr w:rsidR="00A916A4">
        <w:trPr>
          <w:trHeight w:val="696"/>
        </w:trPr>
        <w:tc>
          <w:tcPr>
            <w:tcW w:w="3165" w:type="dxa"/>
            <w:vMerge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3.2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Budowa i modernizacja, w tym termomodernizacja obiektów użyteczności publicznej i budownictwa wielorodzinnego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A2,A3,A5, A6,A13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A2,A3,A5, A6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A2,A3,A5, A6</w:t>
            </w:r>
          </w:p>
        </w:tc>
      </w:tr>
      <w:tr w:rsidR="00A916A4">
        <w:trPr>
          <w:trHeight w:val="276"/>
        </w:trPr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18"/>
              </w:rPr>
              <w:t>Funkcjonalno-przestrzenna</w:t>
            </w:r>
          </w:p>
        </w:tc>
        <w:tc>
          <w:tcPr>
            <w:tcW w:w="69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335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rPr>
          <w:trHeight w:val="1368"/>
        </w:trPr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lastRenderedPageBreak/>
              <w:t xml:space="preserve">Niedobór bezpiecznej </w:t>
            </w:r>
            <w:r>
              <w:rPr>
                <w:sz w:val="18"/>
              </w:rPr>
              <w:t>infrastruktury drogowej, w tym pieszej i rowerowej</w:t>
            </w:r>
          </w:p>
        </w:tc>
        <w:tc>
          <w:tcPr>
            <w:tcW w:w="6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3.4</w:t>
            </w:r>
          </w:p>
        </w:tc>
        <w:tc>
          <w:tcPr>
            <w:tcW w:w="43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Budowa i modernizacja infrastruktury drogowej, w tym pieszej i rowerowej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A4</w:t>
            </w: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1368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Niedobór/zły stan gminnych zasobów mieszkaniowych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3.2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Budowa i modernizacja, w tym termomodernizacja obiektów </w:t>
            </w:r>
            <w:r>
              <w:rPr>
                <w:sz w:val="18"/>
              </w:rPr>
              <w:t>użyteczności publicznej i budownictwa wielorodzinnego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A2,A3,A5, A6,A8,A9, A13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936"/>
        </w:trPr>
        <w:tc>
          <w:tcPr>
            <w:tcW w:w="316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Niedobór zagospodarowanej przestrzeni publicznej służącej aktywności społeczno-kulturalnej oraz integracji mieszkańców, w tym zielonej architektury i rekreacyjno-sportowej</w:t>
            </w: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3.1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Tworzenie i modernizacja funkcjonalna przestrzeni publicznych wraz z działaniami na rzecz polepszenia środowiska, dostępności do mediów i poprawy ładu przestrzennego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A7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A14</w:t>
            </w:r>
          </w:p>
        </w:tc>
      </w:tr>
      <w:tr w:rsidR="00A916A4">
        <w:trPr>
          <w:trHeight w:val="864"/>
        </w:trPr>
        <w:tc>
          <w:tcPr>
            <w:tcW w:w="316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3.3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Budowa i modernizacja infrastruktury społeczno-kulturalnej , </w:t>
            </w:r>
            <w:r>
              <w:rPr>
                <w:sz w:val="18"/>
              </w:rPr>
              <w:t>sportowo-rekreacyjnej i dziedzictwa narodowego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A10,B1, B2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B1,B2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B1,B2</w:t>
            </w:r>
          </w:p>
        </w:tc>
      </w:tr>
      <w:tr w:rsidR="00A916A4">
        <w:trPr>
          <w:trHeight w:val="1368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Niedostateczna dostępność do infrastruktury publicznej dla osób ze szczególnymi potrzebami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3.5 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Poprawa dostępności do infrastruktury publicznej dla osób ze szczególnymi potrzebami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A6,A8,A9, A10,A13, B1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A7,B1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A14,B1</w:t>
            </w:r>
          </w:p>
        </w:tc>
      </w:tr>
      <w:tr w:rsidR="00A916A4">
        <w:trPr>
          <w:trHeight w:val="1368"/>
        </w:trPr>
        <w:tc>
          <w:tcPr>
            <w:tcW w:w="316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Niska estetyka przestrzeni publicznych</w:t>
            </w:r>
          </w:p>
        </w:tc>
        <w:tc>
          <w:tcPr>
            <w:tcW w:w="690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3.1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Tworzenie i modernizacja funkcjonalna przestrzeni publicznych wraz z działaniami na rzecz polepszenia środowiska, dostępności do mediów i poprawy ładu przestrzennego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A20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A7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A14</w:t>
            </w:r>
          </w:p>
        </w:tc>
      </w:tr>
      <w:tr w:rsidR="00A916A4">
        <w:trPr>
          <w:trHeight w:val="624"/>
        </w:trPr>
        <w:tc>
          <w:tcPr>
            <w:tcW w:w="316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Degradacja infrastruktury publicznej. Występują obiekty/przestrzenie nieużytkowane</w:t>
            </w: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3.2</w:t>
            </w:r>
          </w:p>
        </w:tc>
        <w:tc>
          <w:tcPr>
            <w:tcW w:w="4335" w:type="dxa"/>
            <w:tcBorders>
              <w:top w:val="nil"/>
              <w:left w:val="single" w:sz="2" w:space="0" w:color="auto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3.2: Modernizacja/termomodernizacja obiektów publicznych i mieszkalnych, w tym zabytkowych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A8,A9, A10, A20</w:t>
            </w: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single" w:sz="2" w:space="0" w:color="auto"/>
              <w:left w:val="nil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A916A4">
        <w:trPr>
          <w:trHeight w:val="684"/>
        </w:trPr>
        <w:tc>
          <w:tcPr>
            <w:tcW w:w="316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 3.3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 xml:space="preserve">Budowa i modernizacja infrastruktury </w:t>
            </w:r>
            <w:r>
              <w:rPr>
                <w:sz w:val="18"/>
              </w:rPr>
              <w:t>społeczno-kulturalnej , sportowo-rekreacyjnej i dziedzictwa narodowego</w:t>
            </w: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1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</w:tbl>
    <w:p w:rsidR="00A77B3E" w:rsidRDefault="00A77B3E">
      <w:pPr>
        <w:spacing w:before="120" w:after="120"/>
        <w:ind w:left="283" w:firstLine="227"/>
        <w:rPr>
          <w:color w:val="000000"/>
          <w:u w:color="000000"/>
        </w:rPr>
        <w:sectPr w:rsidR="00A77B3E">
          <w:footerReference w:type="default" r:id="rId71"/>
          <w:endnotePr>
            <w:numFmt w:val="decimal"/>
          </w:endnotePr>
          <w:pgSz w:w="16838" w:h="11906" w:orient="landscape"/>
          <w:pgMar w:top="850" w:right="850" w:bottom="1417" w:left="850" w:header="708" w:footer="708" w:gutter="0"/>
          <w:cols w:space="708"/>
          <w:docGrid w:linePitch="360"/>
        </w:sectPr>
      </w:pP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9.4.</w:t>
      </w:r>
      <w:r>
        <w:rPr>
          <w:b/>
          <w:color w:val="000000"/>
          <w:u w:color="000000"/>
        </w:rPr>
        <w:t>Komplementarność proceduralno-instytucjonalna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Za prawidłowość realizacji GPR odpowiadać </w:t>
      </w:r>
      <w:r>
        <w:rPr>
          <w:color w:val="000000"/>
          <w:u w:color="000000"/>
        </w:rPr>
        <w:t>będzie Prezydent Miasta Piotrkowa Trybunalskiego wsparty Komitetem Rewitalizacji powołanym w trybie określonym w ustawie o rewitalizacji. Skupiać on będzie przedstawicieli różnych, merytorycznie i organizacyjnie powiązanych z tematyką GPR, wydziałów Urzędu</w:t>
      </w:r>
      <w:r>
        <w:rPr>
          <w:color w:val="000000"/>
          <w:u w:color="000000"/>
        </w:rPr>
        <w:t xml:space="preserve"> Miasta i innych instytucji samorządowych oraz interesariuszy, uczestniczących w całym procesie tworzenia Programu. Wynika to z konieczności i woli włączania w cały proces rewitalizacji wszystkich jego interesariuszy na każdym etapie GPR.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9.5.</w:t>
      </w:r>
      <w:r>
        <w:rPr>
          <w:b/>
          <w:color w:val="000000"/>
          <w:u w:color="000000"/>
        </w:rPr>
        <w:t>Komplementarność międzyokresowa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Komplementarność międzyokresowa zachodzi w przypadku części obszaru rewitalizacji, tzn. obejmuje ścisłe centrum miasta wchodzące w skład podobszaru rewitalizacji JS1. Około 74% (79,5 ha) tego podobszaru stanowiło obszar rewi</w:t>
      </w:r>
      <w:r>
        <w:rPr>
          <w:color w:val="000000"/>
          <w:u w:color="000000"/>
        </w:rPr>
        <w:t>talizacji Programu Rewitalizacji dla miasta Piotrkowa Trybunalskiego do 2023 roku przyjętego na podstawie art. 18 ust. 2 pkt 6 ustawy o samorządzie gminnym Uchwałą Nr XLII/549/17 Rady Miasta Piotrkowa Trybunalskiego z dnia 30 sierpnia 2017 roku.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ramach p</w:t>
      </w:r>
      <w:r>
        <w:rPr>
          <w:color w:val="000000"/>
          <w:u w:color="000000"/>
        </w:rPr>
        <w:t>oprzedniego programu rewitalizacji zrealizowano na tym obszarze inwestycje mające na celu ożywienie społeczno-gospodarcze. Niniejszy Program stanowi niejako kontynuację działań rewitalizacyjnych na tym obszarze. (patrz rozdz. 4.3).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9.6.</w:t>
      </w:r>
      <w:r>
        <w:rPr>
          <w:b/>
          <w:color w:val="000000"/>
          <w:u w:color="000000"/>
        </w:rPr>
        <w:t>Komplementarność źró</w:t>
      </w:r>
      <w:r>
        <w:rPr>
          <w:b/>
          <w:color w:val="000000"/>
          <w:u w:color="000000"/>
        </w:rPr>
        <w:t>deł finansowania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Projekty umieszczone w GPR są przewidziane do finansowania z różnych źródeł. Łączą finansowanie z funduszy unijnych, w tym z Europejskiego Funduszu Społecznego oraz Europejskiego Funduszu Rozwoju Regionalnego, z Funduszy Europejskich dla R</w:t>
      </w:r>
      <w:r>
        <w:rPr>
          <w:color w:val="000000"/>
          <w:u w:color="000000"/>
        </w:rPr>
        <w:t>ozwoju Społecznego (FERS 2021-2027) oraz innych źródeł takich jak np.: Fundusz Pracy</w:t>
      </w:r>
      <w:r>
        <w:rPr>
          <w:b/>
          <w:color w:val="000000"/>
          <w:u w:color="000000"/>
        </w:rPr>
        <w:t xml:space="preserve">, </w:t>
      </w:r>
      <w:r>
        <w:rPr>
          <w:color w:val="000000"/>
          <w:u w:color="000000"/>
        </w:rPr>
        <w:t>środki z budżetu Miasta oraz innych środków publicznych, w tym Rządowy Fundusz Rozwoju Dróg, Rządowy Fundusz Polski Ład: Program Inwestycji Strategicznych, inne fundusze/</w:t>
      </w:r>
      <w:r>
        <w:rPr>
          <w:color w:val="000000"/>
          <w:u w:color="000000"/>
        </w:rPr>
        <w:t>programy resortowe. Założono również współfinansowanie z Programu Społecznego Budownictwa Czynszowego na realizację inwestycji mieszkaniowych i inne.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Kluczowe znaczenie mają środki EFS+ i EFRR. Priorytetowe zadania ujęte w pakiecie przedsięwzięć o społeczn</w:t>
      </w:r>
      <w:r>
        <w:rPr>
          <w:color w:val="000000"/>
          <w:u w:color="000000"/>
        </w:rPr>
        <w:t>ym charakterze będą aplikowały o wsparcie z Funduszy Europejskich dla Łódzkiego 2021-2027.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Komplementarność </w:t>
      </w:r>
      <w:r>
        <w:rPr>
          <w:b/>
          <w:color w:val="000000"/>
          <w:u w:color="000000"/>
        </w:rPr>
        <w:t xml:space="preserve">źródeł finansowania </w:t>
      </w:r>
      <w:r>
        <w:rPr>
          <w:color w:val="000000"/>
          <w:u w:color="000000"/>
        </w:rPr>
        <w:t>została zachowana we wszystkich projektach, co oznacza, że w kontekście polityki spójności projekty opierają się na konieczności</w:t>
      </w:r>
      <w:r>
        <w:rPr>
          <w:color w:val="000000"/>
          <w:u w:color="000000"/>
        </w:rPr>
        <w:t xml:space="preserve"> umiejętnego uzupełniania i łączenia wsparcia ze środków EFRR, EFS i innych środków krajowych z wykluczeniem ryzyka podwójnego dofinansowania. Projekty zakładają różne źródła finansowania, w tym: środki własne. Wszystkie źródła finansowania wzajemnie się u</w:t>
      </w:r>
      <w:r>
        <w:rPr>
          <w:color w:val="000000"/>
          <w:u w:color="000000"/>
        </w:rPr>
        <w:t>zupełniają celem uzyskania korzystnych efektów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9.7.</w:t>
      </w:r>
      <w:r>
        <w:rPr>
          <w:b/>
          <w:color w:val="000000"/>
          <w:u w:color="000000"/>
        </w:rPr>
        <w:t>Mechanizmy integracji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Kluczowymi mechanizmami integracji zaplanowanej w GPR interwencji będą następujące czynniki: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 xml:space="preserve">Integracja na poziomie celów – mechanizm integracji w tym obszarze </w:t>
      </w:r>
      <w:r>
        <w:rPr>
          <w:color w:val="000000"/>
          <w:u w:color="000000"/>
        </w:rPr>
        <w:t>został wdrożony na poziomie opracowania dokumentu i będzie kontynuowany w okresie jego wdrażania. Etap opracowania dokumentu uwzględniał takie mechanizmy jak: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a. konsultacje wytyczonego obszaru zdegradowanego i wyznaczonego na jego podstawie obszaru rewita</w:t>
      </w:r>
      <w:r>
        <w:rPr>
          <w:color w:val="000000"/>
          <w:u w:color="000000"/>
        </w:rPr>
        <w:t>lizacji – etap ten rozpoczął mechanizm integracji poprzez uruchomienie procesu udziału interesariuszy w tworzeniu GPR,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b. nabór przedsięwzięć rewitalizacyjnych do GPR – otwarty nabór przedsięwzięć przełożył się na stworzenie pola do weryfikacji przedsięwzi</w:t>
      </w:r>
      <w:r>
        <w:rPr>
          <w:color w:val="000000"/>
          <w:u w:color="000000"/>
        </w:rPr>
        <w:t>ęć z punktu widzenia ich oddziaływania na podobszary rewitalizacji i zaplanowania kompleksowej i zintegrowanej interwencji.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etapie wdrażania mechanizmem integracji na poziomie celów będzie proces monitoringu – weryfikacji osiąganych celów i formułowania</w:t>
      </w:r>
      <w:r>
        <w:rPr>
          <w:color w:val="000000"/>
          <w:u w:color="000000"/>
        </w:rPr>
        <w:t xml:space="preserve"> zaleceń określających dalsze kroki wdrażania GPR.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Integracja na poziomie partycypacji społecznej w zarządzaniu wdrażaniem GPR – mechanizm ten będzie realizowany poprzez: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a. powołanie Komitetu Rewitalizacji – podstawową funkcją Komitetu będzie ocenianie</w:t>
      </w:r>
      <w:r>
        <w:rPr>
          <w:color w:val="000000"/>
          <w:u w:color="000000"/>
        </w:rPr>
        <w:t xml:space="preserve"> postępu wdrażania GPR z punktu widzenia integracji i komplementarności podejmowanych działań przez podmioty zaangażowane w proces rewitalizacji,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b. współpracę ze środowiskiem lokalnych liderów społecznych w zakresie podejmowanych działań rewitalizacyjnych</w:t>
      </w:r>
      <w:r>
        <w:rPr>
          <w:color w:val="000000"/>
          <w:u w:color="000000"/>
        </w:rPr>
        <w:t>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c. współpracę z przedstawicielami organizacji pozarządowych,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d. periodyczne spotkania z interesariuszami,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e. dodatkowym narzędziem integracji jest kontrola społeczna procesu realizowana dzięki publikacji i opiniowaniu sprawozdań z monitoringu GPR.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Int</w:t>
      </w:r>
      <w:r>
        <w:rPr>
          <w:color w:val="000000"/>
          <w:u w:color="000000"/>
        </w:rPr>
        <w:t>egracja na poziomie zarządzania wdrażaniem – mechanizm związany z ciągłą oceną postępu wdrażania GPR, realizowany poprzez: monitoring i ewaluację.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Monitoring oraz ewaluacja na poziomie mechanizmów integracji zostaną wykorzystane dla prowadzenia procesu zar</w:t>
      </w:r>
      <w:r>
        <w:rPr>
          <w:color w:val="000000"/>
          <w:u w:color="000000"/>
        </w:rPr>
        <w:t>ządzania, zgodnie z zaplanowanymi celami, jednocześnie odnosząc się do mierzalnych wskaźników, co pozwoli na pomiar realizacji celów, a tym samym ocenę integracji GPR.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10. </w:t>
      </w:r>
      <w:r>
        <w:rPr>
          <w:b/>
          <w:color w:val="000000"/>
          <w:u w:color="000000"/>
        </w:rPr>
        <w:t>Szacunkowe ramy finansowe Gminnego Programu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Biorąc pod uwagę listę pod</w:t>
      </w:r>
      <w:r>
        <w:rPr>
          <w:color w:val="000000"/>
          <w:u w:color="000000"/>
        </w:rPr>
        <w:t>stawowych i uzupełniających przedsięwzięć rewitalizacyjnych, założono następujące ramy finansowe Gminnego Programu Rewitalizacji: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Szacunkowe ramy finansowe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>
            <wp:extent cx="5670447" cy="1048174"/>
            <wp:effectExtent l="0" t="0" r="0" b="0"/>
            <wp:docPr id="100065" name="Obraz 10006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r:embed="rId72" r:link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70447" cy="104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Przedsięwzięcia rewitalizacyjne, uwzględnione w Gminnym Programie Rewitalizacji dla Mias</w:t>
      </w:r>
      <w:r>
        <w:rPr>
          <w:color w:val="000000"/>
          <w:u w:color="000000"/>
        </w:rPr>
        <w:t>ta Piotrków Trybunalski na lata 2024-2030, obejmują zadania, których realizacja uzależniona została przede wszystkim od możliwości finansowych Miasta oraz stopnia efektywności pozyskiwania środków na realizację poszczególnych projektów. W tym kontekście pl</w:t>
      </w:r>
      <w:r>
        <w:rPr>
          <w:color w:val="000000"/>
          <w:u w:color="000000"/>
        </w:rPr>
        <w:t>an finansowy obejmujący wszystkie zidentyfikowane projekty ma charakter indykatywny, tzn. że podane poniżej informacje dotyczące źródeł finansowania przedsięwzięć mają charakter orientacyjny i są odzwierciedleniem najlepszej o nich wiedzy w momencie tworze</w:t>
      </w:r>
      <w:r>
        <w:rPr>
          <w:color w:val="000000"/>
          <w:u w:color="000000"/>
        </w:rPr>
        <w:t>nia Programu.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10.1.</w:t>
      </w:r>
      <w:r>
        <w:rPr>
          <w:b/>
          <w:color w:val="000000"/>
          <w:u w:color="000000"/>
        </w:rPr>
        <w:t>Potencjalne źródła finansowania zewnętrznego przedsięwzięć rewitalizacyjnych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b/>
          <w:color w:val="000000"/>
          <w:u w:color="000000"/>
        </w:rPr>
        <w:t>FUNDUSZE EUROPEJSKIE DLA ŁÓDZKIEGO NA LATA 2021-2027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Możliwe wsparcie zawartych w GPR przedsięwzięć dotyczących działań zagospodarowania</w:t>
      </w:r>
      <w:r>
        <w:rPr>
          <w:color w:val="000000"/>
          <w:u w:color="000000"/>
        </w:rPr>
        <w:br/>
        <w:t xml:space="preserve">i rozwoju miejskich </w:t>
      </w:r>
      <w:r>
        <w:rPr>
          <w:color w:val="000000"/>
          <w:u w:color="000000"/>
        </w:rPr>
        <w:t>przestrzeni publicznych ukierunkowanych na podniesienie atrakcyjności społecznej oraz nadawanie walorów funkcjonalnych i estetycznych tym przestrzeniom</w:t>
      </w:r>
      <w:r>
        <w:rPr>
          <w:color w:val="000000"/>
          <w:u w:color="000000"/>
        </w:rPr>
        <w:br/>
        <w:t>z uwzględnieniem ich regionalnej tożsamości np. place, skwery, parki, obiekty małej architektury, inwest</w:t>
      </w:r>
      <w:r>
        <w:rPr>
          <w:color w:val="000000"/>
          <w:u w:color="000000"/>
        </w:rPr>
        <w:t>ycji dotyczących modernizacji, w tym termomodernizacji wielorodzinnych budynków mieszkalnych, realizacji prac konserwatorskich, restauratorskich, robót budowlanych prowadzących do przywrócenia lub nadania obiektom nowych funkcji (np. przedsięwzięcia A2, A3</w:t>
      </w:r>
      <w:r>
        <w:rPr>
          <w:color w:val="000000"/>
          <w:u w:color="000000"/>
        </w:rPr>
        <w:t>, A5, A6, A7, A8, A9, A10, A13, A14 – realizowane głównie przy wsparciu w ramach działania FELD. 05.02).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RSO2.1.</w:t>
      </w:r>
      <w:r>
        <w:rPr>
          <w:color w:val="000000"/>
          <w:u w:color="000000"/>
        </w:rPr>
        <w:t xml:space="preserve"> Wspieranie efektywności energetycznej i redukcji emisji gazów cieplarnianych (EFRR)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Potencjalne działanie: FELD.02.01 (przedsi</w:t>
      </w:r>
      <w:r>
        <w:rPr>
          <w:color w:val="000000"/>
          <w:u w:color="000000"/>
        </w:rPr>
        <w:t>ęwzięcia: A2, A3)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RSO5.1</w:t>
      </w:r>
      <w:r>
        <w:rPr>
          <w:color w:val="000000"/>
          <w:u w:color="000000"/>
        </w:rPr>
        <w:t xml:space="preserve">. Wspieranie zintegrowanego i sprzyjającego włączeniu społecznemu rozwoju społecznego, gospodarczego i środowiskowego, kultury, dziedzictwa naturalnego, zrównoważonej turystyki i bezpieczeństwa </w:t>
      </w:r>
      <w:r>
        <w:rPr>
          <w:b/>
          <w:color w:val="000000"/>
          <w:u w:color="000000"/>
        </w:rPr>
        <w:t xml:space="preserve">na obszarach </w:t>
      </w:r>
      <w:r>
        <w:rPr>
          <w:b/>
          <w:color w:val="000000"/>
          <w:u w:color="000000"/>
        </w:rPr>
        <w:t>miejskich (EFRR).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Potencjalne działanie: FELD.05.02 </w:t>
      </w:r>
      <w:r>
        <w:rPr>
          <w:color w:val="000000"/>
          <w:u w:color="000000"/>
        </w:rPr>
        <w:t>(dotyczy przedsięwzięć: A2, A3, A5, A6, A7, A8, A9, A13, A14, A20).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RSO5.2</w:t>
      </w:r>
      <w:r>
        <w:rPr>
          <w:color w:val="000000"/>
          <w:u w:color="000000"/>
        </w:rPr>
        <w:t>. Wspieranie zintegrowanego i sprzyjającego włączeniu społecznemu rozwoju społecznego, gospodarczego i środowisko</w:t>
      </w:r>
      <w:r>
        <w:rPr>
          <w:color w:val="000000"/>
          <w:u w:color="000000"/>
        </w:rPr>
        <w:t>wego na poziomie lokalnym, kultury, dziedzictwa naturalnego, zrównoważonej turystyki i bezpieczeństwa na obszarach innych niż miejskie (EFRR)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Wsparcie uzyskają projekty dotyczące m.in: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▪ zapewnienia odpowiedniego rozwoju społecznego i gospodarczego poprzez</w:t>
      </w:r>
      <w:r>
        <w:rPr>
          <w:color w:val="000000"/>
          <w:u w:color="000000"/>
        </w:rPr>
        <w:t xml:space="preserve"> realizowanie procesu wyprowadzania ze stanu kryzysowego zdegradowanych obszarów, zgodnego</w:t>
      </w:r>
      <w:r>
        <w:rPr>
          <w:color w:val="000000"/>
          <w:u w:color="000000"/>
        </w:rPr>
        <w:br/>
        <w:t>z gminnym programem rewitalizacji. W związku z powyższym dofinansowaniem będą objęte kompleksowe projekty m.in. w zakresie inwestycji dotyczących modernizacji wielor</w:t>
      </w:r>
      <w:r>
        <w:rPr>
          <w:color w:val="000000"/>
          <w:u w:color="000000"/>
        </w:rPr>
        <w:t>odzinnych budynków mieszkalnych, realizacji prac konserwatorskich, restauratorskich, robót budowlanych prowadzących do przywrócenia lub nadania obiektom nowych funkcji (możliwy będzie też zakup sprzętu lub wyposażenia niezbędnego do realizacji celu projekt</w:t>
      </w:r>
      <w:r>
        <w:rPr>
          <w:color w:val="000000"/>
          <w:u w:color="000000"/>
        </w:rPr>
        <w:t>u),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 zagospodarowanie przestrzeni publicznej, w tym: tworzenie i adaptację terenów zielonych lub dla potrzeb starzejącego się społeczeństwa, fizycznej odnowy tej przestrzeni poprzez zagospodarowanie przestrzeni międzyblokowych, deptaków, parków, rynków, s</w:t>
      </w:r>
      <w:r>
        <w:rPr>
          <w:color w:val="000000"/>
          <w:u w:color="000000"/>
        </w:rPr>
        <w:t>kwerów. Działania te mogą dotyczyć również poprawy funkcjonalności tych przestrzeni, czy bezpieczeństwa. Elementem projektu będą m.in. termomodernizacja budynku, instalacja monitoringu lub oświetlenia w celu podniesienia poziomu bezpieczeństwa publicznego.</w:t>
      </w:r>
      <w:r>
        <w:rPr>
          <w:color w:val="000000"/>
          <w:u w:color="000000"/>
        </w:rPr>
        <w:t xml:space="preserve"> Preferowane będą projekty z wykorzystaniem już istniejącej infrastruktury. Projekty muszą zawierać elementy związane z ułatwieniem dostępu do wspieranej infrastruktury, związane</w:t>
      </w:r>
      <w:r>
        <w:rPr>
          <w:color w:val="000000"/>
          <w:u w:color="000000"/>
        </w:rPr>
        <w:br/>
        <w:t>z dostosowaniem obiektów pod kątem osób ze szczególnymi potrzebami, w tym osó</w:t>
      </w:r>
      <w:r>
        <w:rPr>
          <w:color w:val="000000"/>
          <w:u w:color="000000"/>
        </w:rPr>
        <w:t>b</w:t>
      </w:r>
      <w:r>
        <w:rPr>
          <w:color w:val="000000"/>
          <w:u w:color="000000"/>
        </w:rPr>
        <w:br/>
        <w:t>z niepełno sprawnościami,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▪ inwestycje w elementy infrastruktury drogowej (w tym parkingi, ciągi piesze) wspierane wyłącznie, gdy stanowią nieodłączny i niedominujący element większego projektu, a ich koszt kwalifikowalny nie przekracza 15% kosztów kwali</w:t>
      </w:r>
      <w:r>
        <w:rPr>
          <w:color w:val="000000"/>
          <w:u w:color="000000"/>
        </w:rPr>
        <w:t>fikowalnych operacji. W miastach projekty te nie mogą obejmować budowy nowych dróg lub parkingów ani zwiększenia ich pojemności lub przepustowości, ani przyczyniać się do zwiększenia natężenia ruchu samochodowego,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Realizowane przedsięwzięcia ograniczać pow</w:t>
      </w:r>
      <w:r>
        <w:rPr>
          <w:color w:val="000000"/>
          <w:u w:color="000000"/>
        </w:rPr>
        <w:t>inny zjawisko wykluczenia społecznego i związanego z nim ubóstwa. Inwestycje w infrastrukturę miejską i jej porządkowanie, infrastrukturę mieszkaniową, kulturalną i turystyczną, powiększanie terenów zielonych, adaptacja przestrzeni publicznej do potrzeb st</w:t>
      </w:r>
      <w:r>
        <w:rPr>
          <w:color w:val="000000"/>
          <w:u w:color="000000"/>
        </w:rPr>
        <w:t>arzejącego się społeczeństwa wpłynie pozytywnie na zdrowie i jakość mieszkańców wspieranych obszarów i będzie sprzyjać tworzeniu bezpiecznych przestrzeni.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RSO4.3</w:t>
      </w:r>
      <w:r>
        <w:rPr>
          <w:color w:val="000000"/>
          <w:u w:color="000000"/>
        </w:rPr>
        <w:t>. Wspieranie włączenia społeczno-gospodarczego społeczności marginalizowanych,</w:t>
      </w:r>
      <w:r>
        <w:rPr>
          <w:color w:val="000000"/>
          <w:u w:color="000000"/>
        </w:rPr>
        <w:t xml:space="preserve"> gospodarstw domowych o niskich dochodach oraz grup w niekorzystnej sytuacji, w tym osób o szczególnych potrzebach, dzięki zintegrowanym działaniom obejmującym usługi mieszkaniowe. i usługi społeczne (EFRR).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Wsparcie uzyskają projekty dotyczące m.in: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•popr</w:t>
      </w:r>
      <w:r>
        <w:rPr>
          <w:color w:val="000000"/>
          <w:u w:color="000000"/>
        </w:rPr>
        <w:t>awy kondycji psychofizycznej mieszkańców poprzez rozwój infrastruktury aktywizacji i integracji społecznej;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ESO4.1.</w:t>
      </w:r>
      <w:r>
        <w:rPr>
          <w:color w:val="000000"/>
          <w:u w:color="000000"/>
        </w:rPr>
        <w:t xml:space="preserve"> Poprawa dostępu do zatrudnienia i działań aktywizujących dla wszystkich osób poszukujących pracy – w szczególności osób mło</w:t>
      </w:r>
      <w:r>
        <w:rPr>
          <w:color w:val="000000"/>
          <w:u w:color="000000"/>
        </w:rPr>
        <w:t>dych, zwłaszcza poprzez wdrażanie gwarancji dla młodzieży – dla osób długotrwale bezrobotnych oraz grup znajdujących się w niekorzystnej sytuacji na rynku pracy, jak również dla osób biernych zawodowo, a także poprzez promowanie samozatrudnienia i ekonomii</w:t>
      </w:r>
      <w:r>
        <w:rPr>
          <w:color w:val="000000"/>
          <w:u w:color="000000"/>
        </w:rPr>
        <w:t xml:space="preserve"> społecznej; (EFS+).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ESO4.8.</w:t>
      </w:r>
      <w:r>
        <w:rPr>
          <w:color w:val="000000"/>
          <w:u w:color="000000"/>
        </w:rPr>
        <w:t xml:space="preserve"> Wspieranie aktywnego włączenia społecznego w celu promowania równości szans, niedyskryminacji i aktywnego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uczestnictwa, oraz zwiększanie zdolności do zatrudnienia, w szczególności grup</w:t>
      </w:r>
      <w:r>
        <w:rPr>
          <w:color w:val="000000"/>
          <w:u w:color="000000"/>
        </w:rPr>
        <w:br/>
        <w:t xml:space="preserve">w niekorzystnej sytuacji </w:t>
      </w:r>
      <w:r>
        <w:rPr>
          <w:color w:val="000000"/>
          <w:u w:color="000000"/>
        </w:rPr>
        <w:t>(EFS+)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Oferowana pomoc będzie obejmowała instrumenty i usługi rynku pracy realizowane m. in. przez powiatowe urzędy pracy (PUP).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Planuje się wsparcie ze wskazanych źródeł dla projektów A18 i A19.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ESO4.11</w:t>
      </w:r>
      <w:r>
        <w:rPr>
          <w:color w:val="000000"/>
          <w:u w:color="000000"/>
        </w:rPr>
        <w:t>. Zwiększanie równego i szybkiego do</w:t>
      </w:r>
      <w:r>
        <w:rPr>
          <w:color w:val="000000"/>
          <w:u w:color="000000"/>
        </w:rPr>
        <w:t>stępu do dobrej jakości, trwałych i przystępnych cenowo usług, w tym usług, które wspierają dostęp do mieszkań oraz opieki skoncentrowanej na osobie, w tym opieki zdrowotnej; modernizacja systemów ochrony socjalnej, w tym wspieranie dostępu do ochrony socj</w:t>
      </w:r>
      <w:r>
        <w:rPr>
          <w:color w:val="000000"/>
          <w:u w:color="000000"/>
        </w:rPr>
        <w:t xml:space="preserve">alnej, ze szczególnym uwzględnieniem dzieci i grup w niekorzystnej sytuacji; poprawa dostępności, w tym dla osób </w:t>
      </w:r>
      <w:r>
        <w:rPr>
          <w:color w:val="000000"/>
          <w:u w:color="000000"/>
        </w:rPr>
        <w:br/>
      </w:r>
      <w:r>
        <w:rPr>
          <w:color w:val="000000"/>
          <w:u w:color="000000"/>
        </w:rPr>
        <w:lastRenderedPageBreak/>
        <w:t>z niepełnosprawnościami, skuteczności i odporności systemów ochrony zdrowia i usług opieki długoterminowej (EFS+).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Cel szczegółowy: ESO4.12</w:t>
      </w:r>
      <w:r>
        <w:rPr>
          <w:color w:val="000000"/>
          <w:u w:color="000000"/>
        </w:rPr>
        <w:t>. P</w:t>
      </w:r>
      <w:r>
        <w:rPr>
          <w:color w:val="000000"/>
          <w:u w:color="000000"/>
        </w:rPr>
        <w:t>romowanie integracji społecznej osób zagrożonych ubóstwem lub wykluczeniem społecznym, w tym osób najbardziej potrzebujących i dzieci (EFS+).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Planuje się wsparcie ze wskazanych źródeł dla projektów A15, A16 i A17.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b/>
          <w:color w:val="000000"/>
          <w:u w:color="000000"/>
        </w:rPr>
        <w:t>FUNDUSZE EUROPEJSKIE DLA ROZWOJU SPOŁEC</w:t>
      </w:r>
      <w:r>
        <w:rPr>
          <w:b/>
          <w:color w:val="000000"/>
          <w:u w:color="000000"/>
        </w:rPr>
        <w:t>ZNEGO (FERS 2021-2027).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Szereg działań zawartych w GPR może uzyskać wsparcie w ramach FERS 2021-2027, na rzecz działań skierowanych do osób niepełnosprawnych zawartych w projektach: , A6, A7, A8, A9, A10, A13, A14. W szczególności dotyczy to w ramach dział</w:t>
      </w:r>
      <w:r>
        <w:rPr>
          <w:color w:val="000000"/>
          <w:u w:color="000000"/>
        </w:rPr>
        <w:t>ania FERS 03.03 Poprawa dostępności.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b/>
          <w:color w:val="000000"/>
          <w:u w:color="000000"/>
        </w:rPr>
        <w:t>FUNDUSZ PRACY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Projekty PUP (A18 i A19) będą finansowane wyłącznie ze środków Funduszu Pracy w ramach przyznanego limitu środków Funduszu Pracy dla województwa, określonego przez dysponenta Funduszu Pracy w decyzji li</w:t>
      </w:r>
      <w:r>
        <w:rPr>
          <w:color w:val="000000"/>
          <w:u w:color="000000"/>
        </w:rPr>
        <w:t>mitowej na dany rok oraz EFS+.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Obszar ten będzie wspierany przede wszystkim w ramach Polityki Spójności, w szczególności w ramach polityki terytorialnej poprzez realizację celu 4. Cel „Europa o silniejszym wymiarze społecznym”. Na poziomie regionalnym </w:t>
      </w:r>
      <w:r>
        <w:rPr>
          <w:color w:val="000000"/>
          <w:u w:color="000000"/>
        </w:rPr>
        <w:t>przewiduje się wsparcie w zakresie aktywizacji zawodowej osób pozostających bez pracy, znajdujących się w trudnej sytuacji na rynku pracy, zwłaszcza: kobiet, osób młodych, osób starszych, osób długotrwale bezrobotnych i osób o niskich kwalifikacjach.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INNE </w:t>
      </w:r>
      <w:r>
        <w:rPr>
          <w:b/>
          <w:color w:val="000000"/>
          <w:u w:color="000000"/>
        </w:rPr>
        <w:t>FUNDUSZE/PROGRAMY. (</w:t>
      </w:r>
      <w:r>
        <w:rPr>
          <w:color w:val="000000"/>
          <w:u w:color="000000"/>
        </w:rPr>
        <w:t>Programy/Fundusze rządowe - Rządowy Fundusz Rozwoju Dróg, , Rządowy Fundusz Polski Ład – Program Inwestycji Strategicznych itp.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Istotnym elementem rozwoju lokalnego w Polsce są odpowiednie ciągi komunikacyjne (drogi, w tym lokalne) zape</w:t>
      </w:r>
      <w:r>
        <w:rPr>
          <w:color w:val="000000"/>
          <w:u w:color="000000"/>
        </w:rPr>
        <w:t>wniające odpowiednie warunki dla transportu osób i produktów. Szczególnie w przypadku wiejskich dróg lokalnych ich modernizacja i dalszy rozwój mają duże znaczenie gospodarcze i społeczne. W pierwszej kolejności dostępność dobrze rozwiniętych sieci dróg lo</w:t>
      </w:r>
      <w:r>
        <w:rPr>
          <w:color w:val="000000"/>
          <w:u w:color="000000"/>
        </w:rPr>
        <w:t>kalnych dobrze połączonych z siecią dróg wojewódzkich i krajowych, jest niezbędna dla rozwoju działalności rolno spożywczej oraz rozwoju przedsiębiorczości pozarolniczej na wsi. Dobre skomunikowanie z większymi centrami miejskimi jest też istotne dla miesz</w:t>
      </w:r>
      <w:r>
        <w:rPr>
          <w:color w:val="000000"/>
          <w:u w:color="000000"/>
        </w:rPr>
        <w:t xml:space="preserve">kańców obszarów wiejskich ze względu na lepszą dostępność do usług publicznych </w:t>
      </w:r>
      <w:r>
        <w:rPr>
          <w:color w:val="000000"/>
          <w:u w:color="000000"/>
        </w:rPr>
        <w:br/>
        <w:t>i komercyjnych a także na możliwość zwiększenia mobilności związanej z pracą czy sposobem spędzania wolnego czasu. Dotychczas budowa i modernizacja infrastruktury drogowej na o</w:t>
      </w:r>
      <w:r>
        <w:rPr>
          <w:color w:val="000000"/>
          <w:u w:color="000000"/>
        </w:rPr>
        <w:t>bszarach miejskich realizowana była w ramach szeregu programów/funduszy resortowych i samorządowych oraz w Polityce Spójności. Dodatkowo budowę i modernizację dróg lokalnych w Polsce finansuje program budowy dróg realizowany z budżetu krajowego. W nowej pe</w:t>
      </w:r>
      <w:r>
        <w:rPr>
          <w:color w:val="000000"/>
          <w:u w:color="000000"/>
        </w:rPr>
        <w:t>rspektywie ze względu na ograniczenie budżetu II filara a także w związku z potrzebą lepszego planowania ciągów komunikacyjnych i integrowania transportu towarowego i osobowego na poziomie krajowym i wojewódzkim wsparcie w zakresie budowy i modernizacji m.</w:t>
      </w:r>
      <w:r>
        <w:rPr>
          <w:color w:val="000000"/>
          <w:u w:color="000000"/>
        </w:rPr>
        <w:t xml:space="preserve">in. dróg lokalnych zaplanowana w ramach środków krajowych w programie Polski Ład. Budowa i modernizacja dróg, w tym dróg lokalnych będzie realizowana także w ramach </w:t>
      </w:r>
      <w:r>
        <w:rPr>
          <w:b/>
          <w:color w:val="000000"/>
          <w:u w:color="000000"/>
        </w:rPr>
        <w:t>Krajowego Planu Odbudowy i Zwiększenia Odporności</w:t>
      </w:r>
      <w:r>
        <w:rPr>
          <w:color w:val="000000"/>
          <w:u w:color="000000"/>
        </w:rPr>
        <w:t xml:space="preserve"> oraz Polityki Spójności.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Inne: 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color w:val="000000"/>
          <w:u w:color="000000"/>
        </w:rPr>
        <w:t xml:space="preserve"> MKiDN Program "Ochrona zabytków" - </w:t>
      </w:r>
      <w:r>
        <w:rPr>
          <w:color w:val="000000"/>
          <w:u w:color="000000"/>
        </w:rPr>
        <w:t>potencjalne źródło współfinansowania projektu A10.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color w:val="000000"/>
          <w:u w:color="000000"/>
        </w:rPr>
        <w:t>Ministerstwo Rodziny i Polityki Społecznej,</w:t>
      </w:r>
      <w:r>
        <w:rPr>
          <w:color w:val="000000"/>
          <w:u w:color="000000"/>
        </w:rPr>
        <w:t xml:space="preserve"> np. Program Osłonowy „Wspieranie Jednostek Samorządu Terytorialnego w Tworzeniu Systemu Przeciwdziałania Przemocy w Rodzini</w:t>
      </w:r>
      <w:r>
        <w:rPr>
          <w:color w:val="000000"/>
          <w:u w:color="000000"/>
        </w:rPr>
        <w:t>e”.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 xml:space="preserve"> Możliwe jest współfinansowanie również z programu </w:t>
      </w:r>
      <w:r>
        <w:rPr>
          <w:b/>
          <w:color w:val="000000"/>
          <w:u w:color="000000"/>
        </w:rPr>
        <w:t>Społecznego Budownictwa Czynszowego, które</w:t>
      </w:r>
      <w:r>
        <w:rPr>
          <w:color w:val="000000"/>
          <w:u w:color="000000"/>
        </w:rPr>
        <w:t xml:space="preserve"> może być przeznaczone na realizację inwestycji mieszkaniowych, tj. tworzenie: mieszkań na wynajem z limitowaną ustawowo stawką czynszu, Dodatkowo gmina może</w:t>
      </w:r>
      <w:r>
        <w:rPr>
          <w:color w:val="000000"/>
          <w:u w:color="000000"/>
        </w:rPr>
        <w:t xml:space="preserve"> ubiegać się o bezzwrotny grant z Funduszu Dopłat na mieszkania na wynajem, którym można uzupełnić montaż finansowy kredytowanego przedsięwzięcia. Innym źródłem dofinansowania bezzwrotnego takich inwestycji są granty z Rządowego Funduszu Rozwoju Mieszkalni</w:t>
      </w:r>
      <w:r>
        <w:rPr>
          <w:color w:val="000000"/>
          <w:u w:color="000000"/>
        </w:rPr>
        <w:t>ctwa. Ponadto, Bezzwrotne wsparcie budownictwa z Funduszu Dopłat BGK.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Na etapie opracowania GPR trudno jest precyzyjnie wskazać wszystkie dostępne zewnętrzne źródła finansowania przedsięwzięć rewitalizacyjnych, które wykorzystane zostaną do realizacji celó</w:t>
      </w:r>
      <w:r>
        <w:rPr>
          <w:color w:val="000000"/>
          <w:u w:color="000000"/>
        </w:rPr>
        <w:t>w GPR.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11. </w:t>
      </w:r>
      <w:r>
        <w:rPr>
          <w:b/>
          <w:color w:val="000000"/>
          <w:u w:color="000000"/>
        </w:rPr>
        <w:t>System zarządzania Gminnym Programem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11.1.</w:t>
      </w:r>
      <w:r>
        <w:rPr>
          <w:b/>
          <w:color w:val="000000"/>
          <w:u w:color="000000"/>
        </w:rPr>
        <w:t>Opis struktury zarządzania Programem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Realizację Gminnego Programu Rewitalizacji dla Miasta Piotrków Trybunalski na lata 2024-2030 powierza się Prezydentowi Miasta Piotrkowa Trybunalskiego p</w:t>
      </w:r>
      <w:r>
        <w:rPr>
          <w:color w:val="000000"/>
          <w:u w:color="000000"/>
        </w:rPr>
        <w:t>oprzez Urząd Miasta Piotrkowa Trybunalskiego, w szczególności – Biuro Partnerstwa i Funduszy jako operatora procesu rewitalizacji. Zarządzanie GPR będzie odbywać się zatem w ramach istniejących struktur Urzędu Miasta, przez co nie przewiduje się dodatkowyc</w:t>
      </w:r>
      <w:r>
        <w:rPr>
          <w:color w:val="000000"/>
          <w:u w:color="000000"/>
        </w:rPr>
        <w:t>h kosztów na zarządzanie programem. Ponadto kluczowymi z punktu widzenia wdrażania projektów wskazanych w GPR będą jednostki organizacyjne Miasta, takie jak: Miejski Ośrodek Pomocy Rodzinie w Piotrkowie Trybunalskim, Ośrodek Sportu i Rekreacji w Piotrkowie</w:t>
      </w:r>
      <w:r>
        <w:rPr>
          <w:color w:val="000000"/>
          <w:u w:color="000000"/>
        </w:rPr>
        <w:t xml:space="preserve"> Trybunalskim.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Jednostki organizacyjne gminy będą bezpośrednio zaangażowane w realizację przedsięwzięć ujętych w GPR, zgodnie z ich właściwościami.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Współzarządzanie procesem rewitalizacji przez jego interesariuszy odbywać się będzie za pośrednictwem Komite</w:t>
      </w:r>
      <w:r>
        <w:rPr>
          <w:color w:val="000000"/>
          <w:u w:color="000000"/>
        </w:rPr>
        <w:t>tu Rewitalizacji, który powołany zostanie w trybie określonym w art. 7 ustawy o 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Wszystkie projekty będą realizowane zgodnie z uchwaloną przez Radę Miasta Wieloletnią Prognozą Finansową oraz poszczególnymi budżetami rocznymi. Spójność niniejs</w:t>
      </w:r>
      <w:r>
        <w:rPr>
          <w:color w:val="000000"/>
          <w:u w:color="000000"/>
        </w:rPr>
        <w:t>zego programu z WPF zapewnić ma efektywną realizację zaplanowanych, zhierarchizowanych i ujętych w GPR projektów.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Rolą Rady Miasta będzie weryfikacja postępów wdrażania Gminnego Programu Rewitalizacji dla Miasta Piotrków Trybunalski na lata 2024-2030 i w r</w:t>
      </w:r>
      <w:r>
        <w:rPr>
          <w:color w:val="000000"/>
          <w:u w:color="000000"/>
        </w:rPr>
        <w:t>azie konieczności, przeprowadzenie aktualizacji programu, zgodnie z zasadami opisanymi w rozdziale „System monitorowania i oceny Gminnego Programu Rewitalizacji”.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11.1.1.</w:t>
      </w:r>
      <w:r>
        <w:rPr>
          <w:b/>
          <w:color w:val="000000"/>
          <w:u w:color="000000"/>
        </w:rPr>
        <w:t xml:space="preserve">Identyfikacja i sposób ograniczenia ryzyka podczas wdrażania GPR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tabeli poniżej prz</w:t>
      </w:r>
      <w:r>
        <w:rPr>
          <w:color w:val="000000"/>
          <w:u w:color="000000"/>
        </w:rPr>
        <w:t>edstawiono możliwe ryzyka, które mogą wystąpić podczas wdrażania GPR. Do każdego ze wskazanych ryzyk przypisano prawdopodobieństwo wystąpienia w 3 stopniowej skali: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 – niskie ryzyko wystąpienia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2 – średnie ryzyko wystąpienia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3 – ryzyko prawdopodobne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74"/>
        <w:gridCol w:w="3474"/>
        <w:gridCol w:w="3474"/>
      </w:tblGrid>
      <w:tr w:rsidR="00A916A4"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Rodza</w:t>
            </w:r>
            <w:r>
              <w:rPr>
                <w:b/>
                <w:sz w:val="24"/>
              </w:rPr>
              <w:t>j ryzyka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Prawdopodobieństwo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Sposób rozwiązania</w:t>
            </w:r>
          </w:p>
        </w:tc>
      </w:tr>
      <w:tr w:rsidR="00A916A4"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Nieotrzymanie środków finansowych 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3 – ryzyko prawdopodobne 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1. Próba dywersyfikacji źródeł finansowania (źródła prywatne, konkursowe, zagraniczne, PPP - partnerstwo publiczno-prywatne) </w:t>
            </w:r>
          </w:p>
          <w:p w:rsidR="00A916A4" w:rsidRDefault="00EC7227">
            <w:pPr>
              <w:jc w:val="left"/>
            </w:pPr>
            <w:r>
              <w:rPr>
                <w:sz w:val="24"/>
              </w:rPr>
              <w:t xml:space="preserve">2. Aktualizacja GPR </w:t>
            </w:r>
          </w:p>
        </w:tc>
      </w:tr>
      <w:tr w:rsidR="00A916A4"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Opóźnienie realizacji przedsięwzięć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2 – średnie ryzyko wystąpienia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1. Odpowiednia konstrukcja umów zakładająca kary umowne i odpowiedzialność wykonawcy za terminowe ukończenie inwestycji/projektu. </w:t>
            </w:r>
          </w:p>
          <w:p w:rsidR="00A916A4" w:rsidRDefault="00EC7227">
            <w:pPr>
              <w:jc w:val="left"/>
            </w:pPr>
            <w:r>
              <w:rPr>
                <w:sz w:val="24"/>
              </w:rPr>
              <w:t xml:space="preserve">2. Bieżący monitoring postępu realizacji przedsięwzięć </w:t>
            </w:r>
          </w:p>
        </w:tc>
      </w:tr>
      <w:tr w:rsidR="00A916A4"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Niedostateczne społeczne zaangażowanie w realizacji projektów społecznych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2 – średnie ryzyko wystąpienia</w:t>
            </w:r>
          </w:p>
        </w:tc>
        <w:tc>
          <w:tcPr>
            <w:tcW w:w="30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1. Wysyłka próśb imiennych do potencjalnych uczestników przez jednostki organizacyjne </w:t>
            </w:r>
          </w:p>
          <w:p w:rsidR="00A916A4" w:rsidRDefault="00EC7227">
            <w:pPr>
              <w:jc w:val="left"/>
            </w:pPr>
            <w:r>
              <w:rPr>
                <w:sz w:val="24"/>
              </w:rPr>
              <w:t>2. Osobiste zaangażowanie liderów wybranych grup w proces rekrut</w:t>
            </w:r>
            <w:r>
              <w:rPr>
                <w:sz w:val="24"/>
              </w:rPr>
              <w:t xml:space="preserve">acji 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11.2.</w:t>
      </w:r>
      <w:r>
        <w:rPr>
          <w:b/>
          <w:color w:val="000000"/>
          <w:u w:color="000000"/>
        </w:rPr>
        <w:t>Koszty zarządzania Programem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Zarządzanie GPR będzie odbywać się w ramach istniejących struktur Urzędu Miasta, przez co nie przewiduje się dodatkowych kosztów na zarządzanie programem.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Komitet Rewitalizacji, powołany przez Prezydenta Miasta Piot</w:t>
      </w:r>
      <w:r>
        <w:rPr>
          <w:color w:val="000000"/>
          <w:u w:color="000000"/>
        </w:rPr>
        <w:t xml:space="preserve">rkowa Trybunalskiego jako ciało doradcze, funkcjonować będzie w oparciu o przedstawicieli Urzędu Miasta i innych jednostek organizacyjnych, jak </w:t>
      </w:r>
      <w:r>
        <w:rPr>
          <w:color w:val="000000"/>
          <w:u w:color="000000"/>
        </w:rPr>
        <w:lastRenderedPageBreak/>
        <w:t>również wyłonionych przedstawicieli podmiotów publicznych i prywatnych oraz mieszkańców. Praca w ramach Komitetu</w:t>
      </w:r>
      <w:r>
        <w:rPr>
          <w:color w:val="000000"/>
          <w:u w:color="000000"/>
        </w:rPr>
        <w:t xml:space="preserve"> Rewitalizacji będzie miała charakter społeczny, nieodpłatny.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11.3.</w:t>
      </w:r>
      <w:r>
        <w:rPr>
          <w:b/>
          <w:color w:val="000000"/>
          <w:u w:color="000000"/>
        </w:rPr>
        <w:t>Ramowy harmonogram realizacji Programu.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tabeli poniżej przedstawiono ramowy harmonogram wdrażania Gminnego Programu Rewitalizacji dla Miasta Piotrków Trybunalski na lata 2024-2030. Z uwag</w:t>
      </w:r>
      <w:r>
        <w:rPr>
          <w:color w:val="000000"/>
          <w:u w:color="000000"/>
        </w:rPr>
        <w:t>i na to, iż w momencie opracowywania GPR szereg potencjalnych źródeł finansowania lub współfinansowania przedsięwzięć rewitalizacyjnych ma jedynie ramowy charakter, przyjęto w tym zakresie jedynie ramy czasowe realizacji przedsięwzięć.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211"/>
      </w:tblGrid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Wyszczególnienie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Okr</w:t>
            </w:r>
            <w:r>
              <w:rPr>
                <w:b/>
                <w:sz w:val="24"/>
              </w:rPr>
              <w:t>es realizacji</w:t>
            </w: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Uchwalenie Gminnego Programu Rewitalizacji dla Miasta Piotrków Trybunalski na lata 2024-2030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I kw. 2024 r</w:t>
            </w: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Podjęcie uchwały w sprawie zasad wyznaczania składu oraz zasad działania Komitetu Rewitalizacji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nie później niż przed uchwaleniem GPR</w:t>
            </w: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Powołanie, w drodze zarządzenia Prezydenta Miasta Piotrkowa Trybunalskiego, Komitetu Rewitalizacji.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Niezwłocznie po podjęciu uchwały w sprawie zasad wyznaczania składu oraz zasad działania Komitetu Rewitalizacji</w:t>
            </w: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Wprowadzenie zaplanowanych inwestycji do </w:t>
            </w:r>
            <w:r>
              <w:rPr>
                <w:sz w:val="24"/>
              </w:rPr>
              <w:t>Wieloletniej Prognozy Finansowej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Po uchwaleniu GPR</w:t>
            </w: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Posiedzenia Komitetu Rewitalizacji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2024-2030 (przynajmniej raz w każdym roku)</w:t>
            </w: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Realizacja zaplanowanych w GPR przedsięwzięć rewitalizacyjnych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2024-2030</w:t>
            </w:r>
          </w:p>
        </w:tc>
      </w:tr>
    </w:tbl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12. </w:t>
      </w:r>
      <w:r>
        <w:rPr>
          <w:b/>
          <w:color w:val="000000"/>
          <w:u w:color="000000"/>
        </w:rPr>
        <w:t xml:space="preserve">System monitorowania i oceny Gminnego Programu </w:t>
      </w:r>
      <w:r>
        <w:rPr>
          <w:b/>
          <w:color w:val="000000"/>
          <w:u w:color="000000"/>
        </w:rPr>
        <w:t>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12.1.</w:t>
      </w:r>
      <w:r>
        <w:rPr>
          <w:b/>
          <w:color w:val="000000"/>
          <w:u w:color="000000"/>
        </w:rPr>
        <w:t>Monitoring GPR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Poniżej przedstawiono </w:t>
      </w:r>
      <w:r>
        <w:rPr>
          <w:b/>
          <w:color w:val="000000"/>
          <w:u w:color="000000"/>
        </w:rPr>
        <w:t>wskaźniki monitoringu poszczególnych celów</w:t>
      </w:r>
      <w:r>
        <w:rPr>
          <w:color w:val="000000"/>
          <w:u w:color="000000"/>
        </w:rPr>
        <w:t>. Wybór wskaźników skupiony jest na ocenie osiągnięcia celów GPR, a nie produktów czy rezultatów poszczególnych projektów i ma charakter przekrojowy. Wynika t</w:t>
      </w:r>
      <w:r>
        <w:rPr>
          <w:color w:val="000000"/>
          <w:u w:color="000000"/>
        </w:rPr>
        <w:t>o z postrzegania interwencji w ramach rewitalizacji, jako procesu całościowego, który nie jest prostą sumą realizowanych projektów, a ma na celu osiągnięcie zmiany we wskazanych obszarach poddanych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Wybór wskaźników skupił się przede wszystki</w:t>
      </w:r>
      <w:r>
        <w:rPr>
          <w:color w:val="000000"/>
          <w:u w:color="000000"/>
        </w:rPr>
        <w:t>m na zapewnieniu adekwatnych mierników poszczególnych celów strategicznych przy założeniu zahamowania zdiagnozowanego trendu depopulacyjnego ( wartość bazowa populacji obszaru rewitalizacji jest identyczna z szacowaną wartością docelową). W związku z tym w</w:t>
      </w:r>
      <w:r>
        <w:rPr>
          <w:color w:val="000000"/>
          <w:u w:color="000000"/>
        </w:rPr>
        <w:t>skazać należy następujące wskaźniki monitorowania celów GPR: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 zakresie celów strategicznych nr 1 i nr 3: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b/>
          <w:color w:val="000000"/>
          <w:u w:color="000000"/>
        </w:rPr>
        <w:t xml:space="preserve">Udział osób w gospodarstwach domowych korzystających ze środowiskowej pomocy społecznej w ludności ogółem [%] </w:t>
      </w:r>
      <w:r>
        <w:rPr>
          <w:color w:val="000000"/>
          <w:u w:color="000000"/>
        </w:rPr>
        <w:t xml:space="preserve">(Zmniejszenie odsetka osób </w:t>
      </w:r>
      <w:r>
        <w:rPr>
          <w:color w:val="000000"/>
          <w:u w:color="000000"/>
        </w:rPr>
        <w:t>zamieszkujących na obszarze rewitalizacji, korzystających ze świadczeń środowiskowej opieki społecznej).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Wskaźnik mierzy kluczową dla GPR zmianę w obszarze poprawy sytuacji mieszkańców obszaru tj. liczbę osób korzystających ze środowiskowej opieki społeczn</w:t>
      </w:r>
      <w:r>
        <w:rPr>
          <w:color w:val="000000"/>
          <w:u w:color="000000"/>
        </w:rPr>
        <w:t>ej, których zmusza do tego sytuacja życiowa i materialna. Zakłada się, iż zaplanowana interwencja skutkująca zmniejszeniem tego wskaźnika na obszarze rewitalizacji co najmniej do aktualnie notowanego średniego wskaźnika miasta pozwoli na poprawę jakości ży</w:t>
      </w:r>
      <w:r>
        <w:rPr>
          <w:color w:val="000000"/>
          <w:u w:color="000000"/>
        </w:rPr>
        <w:t>cia mieszkańców obszaru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Wartość bazowa wskaźnika: </w:t>
      </w:r>
      <w:r>
        <w:rPr>
          <w:b/>
          <w:color w:val="000000"/>
          <w:u w:color="000000"/>
        </w:rPr>
        <w:t>7,67%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Wartość docelowa wskaźnika</w:t>
      </w:r>
      <w:r>
        <w:rPr>
          <w:b/>
          <w:color w:val="000000"/>
          <w:u w:color="000000"/>
        </w:rPr>
        <w:t>: 4,57%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b/>
          <w:color w:val="000000"/>
          <w:u w:color="000000"/>
        </w:rPr>
        <w:t>Wskaźnik aktywizacji rynku pracy na obszarze rewitalizacji</w:t>
      </w:r>
      <w:r>
        <w:rPr>
          <w:color w:val="000000"/>
          <w:u w:color="000000"/>
        </w:rPr>
        <w:t xml:space="preserve"> (Udział bezrobotnych ogółem w ludności ogółem [%])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Zmniejszenie udziału bezrobotnych na </w:t>
      </w:r>
      <w:r>
        <w:rPr>
          <w:color w:val="000000"/>
          <w:u w:color="000000"/>
        </w:rPr>
        <w:t>obszarze rewitalizacji co najmniej do aktualnie notowanego średnio w mieście przyczyni się bezpośrednio do poprawy jakości życia na obszarze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Wartość bazowa wskaźnika: </w:t>
      </w:r>
      <w:r>
        <w:rPr>
          <w:b/>
          <w:color w:val="000000"/>
          <w:u w:color="000000"/>
        </w:rPr>
        <w:t>3,42%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Wartość docelowa wskaźnika: </w:t>
      </w:r>
      <w:r>
        <w:rPr>
          <w:b/>
          <w:color w:val="000000"/>
          <w:u w:color="000000"/>
        </w:rPr>
        <w:t>2,47%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lastRenderedPageBreak/>
        <w:t>- </w:t>
      </w:r>
      <w:r>
        <w:rPr>
          <w:color w:val="000000"/>
          <w:u w:color="000000"/>
        </w:rPr>
        <w:t>w zakresie celu strategicznego n</w:t>
      </w:r>
      <w:r>
        <w:rPr>
          <w:color w:val="000000"/>
          <w:u w:color="000000"/>
        </w:rPr>
        <w:t>r 2: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b/>
          <w:color w:val="000000"/>
          <w:u w:color="000000"/>
        </w:rPr>
        <w:t>Wskaźnik aktywności gospodarczej</w:t>
      </w:r>
      <w:r>
        <w:rPr>
          <w:color w:val="000000"/>
          <w:u w:color="000000"/>
        </w:rPr>
        <w:t xml:space="preserve"> (Udział osób prowadzących 1-os dz. gosp. w ludności ogółem %) – zakłada się, iż podjęte działania rewitalizacyjne przyczynią się do zwiększenia aktywności gospodarczej mieszkańców. Dzięki temu zyskają oni nowe miejs</w:t>
      </w:r>
      <w:r>
        <w:rPr>
          <w:color w:val="000000"/>
          <w:u w:color="000000"/>
        </w:rPr>
        <w:t>ca pracy, wpłynie to na poprawę jakości ich życia. Wskaźnik ten traktowany jest również jako ważny wyznacznik podnoszenia jakości życia. Z uwagi na niedostępność danych w przekroju poszczególnych jednostek strukturalnych wskaźnik dotyczy całego obszaru mia</w:t>
      </w:r>
      <w:r>
        <w:rPr>
          <w:color w:val="000000"/>
          <w:u w:color="000000"/>
        </w:rPr>
        <w:t>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Wartość bazowa wskaźnika: </w:t>
      </w:r>
      <w:r>
        <w:rPr>
          <w:b/>
          <w:color w:val="000000"/>
          <w:u w:color="000000"/>
        </w:rPr>
        <w:t>8,3%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Wartość docelowa wskaźnika: </w:t>
      </w:r>
      <w:r>
        <w:rPr>
          <w:b/>
          <w:color w:val="000000"/>
          <w:u w:color="000000"/>
        </w:rPr>
        <w:t>8,5%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 zakresie wszystkich celów strategicznych: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b/>
          <w:color w:val="000000"/>
          <w:u w:color="000000"/>
        </w:rPr>
        <w:t>Wskaźnik horyzontalny dostępności dla osób niepełnosprawnych</w:t>
      </w:r>
      <w:r>
        <w:rPr>
          <w:color w:val="000000"/>
          <w:u w:color="000000"/>
        </w:rPr>
        <w:t>. (Wzrost w perspektywie czasowej Programu ilości obiektów infrastruktury publ</w:t>
      </w:r>
      <w:r>
        <w:rPr>
          <w:color w:val="000000"/>
          <w:u w:color="000000"/>
        </w:rPr>
        <w:t>icznej z dostępnością dla osób ze specjalnymi potrzebami na obszarze rewitalizacji [szt.]).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Wartość bazowa wskaźnika: </w:t>
      </w:r>
      <w:r>
        <w:rPr>
          <w:b/>
          <w:color w:val="000000"/>
          <w:u w:color="000000"/>
        </w:rPr>
        <w:t>0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Wartość docelowa wskaźnika: </w:t>
      </w:r>
      <w:r>
        <w:rPr>
          <w:b/>
          <w:color w:val="000000"/>
          <w:u w:color="000000"/>
        </w:rPr>
        <w:t>20 szt.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Monitorowanie postępu realizacji przedsięwzięć rewitalizacyjnych będzie odbywało się </w:t>
      </w:r>
      <w:r>
        <w:rPr>
          <w:color w:val="000000"/>
          <w:u w:color="000000"/>
        </w:rPr>
        <w:br/>
        <w:t>w cyklach rocz</w:t>
      </w:r>
      <w:r>
        <w:rPr>
          <w:color w:val="000000"/>
          <w:u w:color="000000"/>
        </w:rPr>
        <w:t xml:space="preserve">nych za pomocą przygotowanych </w:t>
      </w:r>
      <w:r>
        <w:rPr>
          <w:b/>
          <w:color w:val="000000"/>
          <w:u w:color="000000"/>
        </w:rPr>
        <w:t>kart projektów</w:t>
      </w:r>
      <w:r>
        <w:rPr>
          <w:color w:val="000000"/>
          <w:u w:color="000000"/>
        </w:rPr>
        <w:t>. Podmiot odpowiedzialny za realizację przedsięwzięcia rewitalizacyjnego będzie zobligowany do wypełnienia karty projektu, zgodnie z załączonym wzorem.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Karta monitorowania projektu.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211"/>
      </w:tblGrid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Wyszczególnienie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nil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4"/>
              </w:rPr>
              <w:t>Opis</w:t>
            </w:r>
          </w:p>
        </w:tc>
      </w:tr>
      <w:tr w:rsidR="00A916A4">
        <w:tc>
          <w:tcPr>
            <w:tcW w:w="4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4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Numer i nazwa projektu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 xml:space="preserve">Cel strategiczny realizacji projektu 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Krótki opis działań w projekcie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Realizator projektu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Miejsce realizacji projektu (adres)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Wskaźniki projektu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Budżet projektu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Kwota dotąd wydatkowana na realizację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Zaawansowanie realizacji projektu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Planowany termin zakończenia projektu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  <w:tr w:rsidR="00A916A4"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EC7227">
            <w:pPr>
              <w:jc w:val="left"/>
              <w:rPr>
                <w:color w:val="000000"/>
                <w:u w:color="000000"/>
              </w:rPr>
            </w:pPr>
            <w:r>
              <w:rPr>
                <w:sz w:val="24"/>
              </w:rPr>
              <w:t>Data sporządzenia karty</w:t>
            </w:r>
          </w:p>
        </w:tc>
        <w:tc>
          <w:tcPr>
            <w:tcW w:w="4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Sporządzone karty winny zostać przekazane do Biura Partnerstwa i Funduszy natomiast pracownik merytoryczny przedmiotowego biura, na podstawie zgromadzonyc</w:t>
      </w:r>
      <w:r>
        <w:rPr>
          <w:color w:val="000000"/>
          <w:u w:color="000000"/>
        </w:rPr>
        <w:t>h kart sporządzi raport z realizacji projektów GPR do 31 grudnia danego roku. Przedmiotowy raport zostanie przekazany Komitetowi Rewitalizacji i będzie stanowił źródło wiedzy o bieżących postępach</w:t>
      </w:r>
      <w:r>
        <w:rPr>
          <w:color w:val="000000"/>
          <w:u w:color="000000"/>
        </w:rPr>
        <w:br/>
        <w:t>w realizacji GPR.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12.2.</w:t>
      </w:r>
      <w:r>
        <w:rPr>
          <w:b/>
          <w:color w:val="000000"/>
          <w:u w:color="000000"/>
        </w:rPr>
        <w:t>Aktualizacja GPR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Ocena aktualności i</w:t>
      </w:r>
      <w:r>
        <w:rPr>
          <w:color w:val="000000"/>
          <w:u w:color="000000"/>
        </w:rPr>
        <w:t> stopnia realizacji GPR będzie prowadzona w cyklach trzyletnich. Obejmować będzie całość działań zaplanowanych do realizacji w ramach GPR, w tym ocenę osiągnięcia wskaźników przypisanych poszczególnym celom zakończoną raportem. Ocena sporządzona przez Prez</w:t>
      </w:r>
      <w:r>
        <w:rPr>
          <w:color w:val="000000"/>
          <w:u w:color="000000"/>
        </w:rPr>
        <w:t>ydenta Miasta Piotrkowa Trybunalskiego podlega zaopiniowaniu przez Komitet Rewitalizacji oraz ogłoszeniu w Biuletynie Informacji Publicznej.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wyniku dynamicznych zmian społeczno-gospodarczych może zajść konieczność modyfikacji programu. W przypadku pojawi</w:t>
      </w:r>
      <w:r>
        <w:rPr>
          <w:color w:val="000000"/>
          <w:u w:color="000000"/>
        </w:rPr>
        <w:t>enia się problemów i niskiej efektywności w realizacji przedsięwzięć na etapie monitorowania, można skorzystać z możliwości modyfikacji i aktualizacji programu rewitalizacji. W przypadku wprowadzania zmian i korekt w przedsięwzięciach rewitalizacyjnych w z</w:t>
      </w:r>
      <w:r>
        <w:rPr>
          <w:color w:val="000000"/>
          <w:u w:color="000000"/>
        </w:rPr>
        <w:t>aktualizowanym dokumencie należy przedstawić ich uzasadnienie. Aktualizacja Gminnego Programu Rewitalizacji może okazać się konieczna, np. w przypadku nieosiągnięcia zakładanych wskaźników podczas monitorowania lub braku terminowości realizacji działań.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 xml:space="preserve">W </w:t>
      </w:r>
      <w:r>
        <w:rPr>
          <w:color w:val="000000"/>
          <w:u w:color="000000"/>
        </w:rPr>
        <w:t>przypadku stwierdzenia, że Gminny Program Rewitalizacji wymaga zmiany, Prezydent Miasta Piotrkowa Trybunalskiego występuje do Rady Miasta z wnioskiem o jego zmianę, dołączając do wniosku sporządzoną ocenę aktualności i stopnia realizacji. W przypadku stwie</w:t>
      </w:r>
      <w:r>
        <w:rPr>
          <w:color w:val="000000"/>
          <w:u w:color="000000"/>
        </w:rPr>
        <w:t>rdzenia, w wyniku przeprowadzonej oceny stopnia realizacji GPR, niezgodnego z Programem osiągnięcia celów rewitalizacji w nim zawartych, Rada Miasta uchyla uchwałę w sprawie przyjęcia Gminnego Programu Rewitalizacji w całości albo w części, z własnej inicj</w:t>
      </w:r>
      <w:r>
        <w:rPr>
          <w:color w:val="000000"/>
          <w:u w:color="000000"/>
        </w:rPr>
        <w:t xml:space="preserve">atywy albo na wniosek Prezydenta. Zaktualizowany GPR powinien zawierać uzasadnienie przeprowadzonych korekt i opis zmian oraz ich wpływu na dalszą realizację programu. Zmiana programu następuje w trybie, w jakim był on uchwalony – jeśli wprowadzone zmiany </w:t>
      </w:r>
      <w:r>
        <w:rPr>
          <w:color w:val="000000"/>
          <w:u w:color="000000"/>
        </w:rPr>
        <w:t>dotyczą modyfikacji w podstawowych przedsięwzięciach rewitalizacyjnych lub dotyczą ustanowienia Specjalnej Strefy Rewitalizacji, obowiązkowe są konsultacje, uzyskanie opinii, przeprowadzenie procedury strategicznej oceny oddziaływania na środowisko.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13. </w:t>
      </w:r>
      <w:r>
        <w:rPr>
          <w:b/>
          <w:color w:val="000000"/>
          <w:u w:color="000000"/>
        </w:rPr>
        <w:t>Mechanizm włączenia interesariuszy w proces opracowania GPR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13.1.</w:t>
      </w:r>
      <w:r>
        <w:rPr>
          <w:b/>
          <w:color w:val="000000"/>
          <w:u w:color="000000"/>
        </w:rPr>
        <w:t>Uspołecznienie procesu tworzenia GPR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Przy tworzeniu i realizacji GPR przestrzegane były i będą m.in. poniższe zasady: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 partycypacja społeczna obejmuje cały proces rewitalizacji,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• dąży się </w:t>
      </w:r>
      <w:r>
        <w:rPr>
          <w:color w:val="000000"/>
          <w:u w:color="000000"/>
        </w:rPr>
        <w:t>do poznania potrzeb i oczekiwań interesariuszy oraz do spójności planowanych działań z tymi potrzebami i oczekiwaniami,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 prowadzi się skierowane do interesariuszy działania edukacyjne i informacyjne o procesie rewitalizacji, w tym o istocie, celach, zasad</w:t>
      </w:r>
      <w:r>
        <w:rPr>
          <w:color w:val="000000"/>
          <w:u w:color="000000"/>
        </w:rPr>
        <w:t>ach prowadzenia rewitalizacji oraz o przebiegu tego procesu,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 inicjuje się, umożliwia i wspiera działania służące rozwijaniu dialogu między interesariuszami oraz ich integracji wokół rewitalizacji,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 zapewnia się udział interesariuszy w przygotowaniu doku</w:t>
      </w:r>
      <w:r>
        <w:rPr>
          <w:color w:val="000000"/>
          <w:u w:color="000000"/>
        </w:rPr>
        <w:t>mentów dotyczących rewitalizacji,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 wspiera się inicjatywy zmierzające do zwiększania udziału interesariuszy w przygotowaniu</w:t>
      </w:r>
      <w:r>
        <w:rPr>
          <w:color w:val="000000"/>
          <w:u w:color="000000"/>
        </w:rPr>
        <w:br/>
        <w:t>i realizacji gminnego programu rewitalizacji,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• zapewnia się interesariuszom możliwość wypowiedzenia się w czasie przygotowania, pr</w:t>
      </w:r>
      <w:r>
        <w:rPr>
          <w:color w:val="000000"/>
          <w:u w:color="000000"/>
        </w:rPr>
        <w:t>owadzenia i oceny procesu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związku z pracami nad Gminnym Programem Rewitalizacji dla Miasta Piotrków Trybunalski na lata 2024-2030, w ramach partycypacji społecznej, przeprowadzono konsultacje społeczne na każdym etapie tworzenia dokumentu.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celu zainteresowania możliwie dużej liczby mieszkańców przeprowadzono szeroko zakrojoną akcję informacyjną. Na stronie BIP Urzędu Miasta Piotrków Trybunalski zamieszczono informację odnośnie konsultacji społecznych i prac związanych</w:t>
      </w:r>
      <w:r>
        <w:rPr>
          <w:color w:val="000000"/>
          <w:u w:color="000000"/>
        </w:rPr>
        <w:br/>
        <w:t>z przygotowywaniem G</w:t>
      </w:r>
      <w:r>
        <w:rPr>
          <w:color w:val="000000"/>
          <w:u w:color="000000"/>
        </w:rPr>
        <w:t>minnego Programu Rewitalizacji. Ponadto informacje zostały zamieszczone na tablicach informacyjnych zlokalizowanych na terenie miasta oraz tablicy informacyjnej w siedzibie Urzędu Miasta.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potrzeby Gminnego Programu Rewitalizacji funkcjonuje specjalna za</w:t>
      </w:r>
      <w:r>
        <w:rPr>
          <w:color w:val="000000"/>
          <w:u w:color="000000"/>
        </w:rPr>
        <w:t>kładka na stronie internetowej Miasta (oficjalnym portalu miejskim  www.piotkow.pl), na której na bieżąco pojawiały się wszelkie wiadomości dotyczące procesu rewitalizacji i opracowywania GPR ( https://www.piotrkow.pl/gospodarka-t71/programy-i-strategie-t9</w:t>
      </w:r>
      <w:r>
        <w:rPr>
          <w:color w:val="000000"/>
          <w:u w:color="000000"/>
        </w:rPr>
        <w:t>9/gpr-2030-aktualnosci-a165). Informacje o konsultacjach były publikowane w lokalnym radio Strefa FM, w Telewizji Piotrków oraz w mediach społecznościowych.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֍ W związku z prowadzonymi badaniami w ramach przygotowywania Gminnego Programu Rewitalizacji na la</w:t>
      </w:r>
      <w:r>
        <w:rPr>
          <w:color w:val="000000"/>
          <w:u w:color="000000"/>
        </w:rPr>
        <w:t xml:space="preserve">ta 2024-2030 przeprowadzono konsultacje społeczne w zakresie przygotowania, prowadzenia i oceny rewitalizacji. Badanie przeprowadzono </w:t>
      </w:r>
      <w:r>
        <w:rPr>
          <w:b/>
          <w:color w:val="000000"/>
          <w:u w:color="000000"/>
        </w:rPr>
        <w:t xml:space="preserve">od 6 maja do 6 czerwca 2022 r. </w:t>
      </w:r>
      <w:r>
        <w:rPr>
          <w:color w:val="000000"/>
          <w:u w:color="000000"/>
        </w:rPr>
        <w:t>O przeprowadzeniu ankietyzacji powiadomiono mieszkańcóww obwieszczeniu wydanym w dniu 28 kw</w:t>
      </w:r>
      <w:r>
        <w:rPr>
          <w:color w:val="000000"/>
          <w:u w:color="000000"/>
        </w:rPr>
        <w:t xml:space="preserve">ietnia 2022 r.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Ankietyzacja prowadzona była </w:t>
      </w:r>
      <w:r>
        <w:rPr>
          <w:color w:val="000000"/>
          <w:u w:color="000000"/>
        </w:rPr>
        <w:t xml:space="preserve">w formie zbierania uwag w wersji elektronicznej, </w:t>
      </w:r>
      <w:r>
        <w:rPr>
          <w:color w:val="000000"/>
          <w:u w:color="000000"/>
        </w:rPr>
        <w:br/>
        <w:t>z wykorzystaniem formularza konsultacyjnego zamieszczonego na stronie internetowej Miasta pod podanym w obwieszczeniu linkiem.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ankiecie zapytano interesariuszy</w:t>
      </w:r>
      <w:r>
        <w:rPr>
          <w:color w:val="000000"/>
          <w:u w:color="000000"/>
        </w:rPr>
        <w:t xml:space="preserve"> m.in. o: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lastRenderedPageBreak/>
        <w:t>- </w:t>
      </w:r>
      <w:r>
        <w:rPr>
          <w:color w:val="000000"/>
          <w:u w:color="000000"/>
        </w:rPr>
        <w:t>Czy dostrzega konieczność kontynuowania działań rewitalizacyjnych na terenie Miasta Piotrkowa Trybunalskiego,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Które z obszarów/obiektów znajdujących się na terenie miasta powinny zostać poddane rewitalizacji,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Jakie problemy społeczne występ</w:t>
      </w:r>
      <w:r>
        <w:rPr>
          <w:color w:val="000000"/>
          <w:u w:color="000000"/>
        </w:rPr>
        <w:t>ują w Piotrkowie Trybunalskim,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Jakie problemy gospodarcze, techniczne, funkcjonalno-przestrzenne i środowiskowe występują w Piotrkowie Trybunalskim,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Które ze wskazanych problemów winny być traktowane priorytetowo.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Zgodnie z oceną respondentów wysokie n</w:t>
      </w:r>
      <w:r>
        <w:rPr>
          <w:color w:val="000000"/>
          <w:u w:color="000000"/>
        </w:rPr>
        <w:t xml:space="preserve">atężenie problemów występuje w zakresie sytuacji na lokalnym rynku pracy, skali patologii społecznych, poziomu integracji mieszkańców, poziomu współpracy władz miasta z mieszkańcami, oferty spędzania wolnego czasu oraz starzenia się społeczeństwa. Istotne </w:t>
      </w:r>
      <w:r>
        <w:rPr>
          <w:color w:val="000000"/>
          <w:u w:color="000000"/>
        </w:rPr>
        <w:t>natężenie problemów występuje w zakresie: samowystarczalności ekonomicznej mieszkańców, ich warunków mieszkaniowych oraz poczucia bezpieczeństwa publicznego. Niskie natężenie problemów lub ich brak respondenci dostrzegli w obszarze edukacji i opieki nad dz</w:t>
      </w:r>
      <w:r>
        <w:rPr>
          <w:color w:val="000000"/>
          <w:u w:color="000000"/>
        </w:rPr>
        <w:t>iećmi w wieku przedszkolnym.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Szczegółowy opis wyników ankietyzacji zawarto </w:t>
      </w:r>
      <w:r>
        <w:rPr>
          <w:b/>
          <w:color w:val="000000"/>
          <w:u w:color="000000"/>
        </w:rPr>
        <w:t>w rozdziale 5.3</w:t>
      </w:r>
      <w:r>
        <w:rPr>
          <w:color w:val="000000"/>
          <w:u w:color="000000"/>
        </w:rPr>
        <w:t xml:space="preserve"> niniejszego Programu</w:t>
      </w:r>
      <w:r>
        <w:rPr>
          <w:color w:val="000000"/>
          <w:u w:val="single" w:color="000000"/>
        </w:rPr>
        <w:t xml:space="preserve">. </w:t>
      </w:r>
      <w:r>
        <w:rPr>
          <w:color w:val="000000"/>
          <w:u w:color="000000"/>
        </w:rPr>
        <w:t>Należy stwierdzić wysoki stopień zgodności wyrażonych w ankietach opinii interesariuszy z wynikami przeprowadzonej diagnozy i analizy wskaźniko</w:t>
      </w:r>
      <w:r>
        <w:rPr>
          <w:color w:val="000000"/>
          <w:u w:color="000000"/>
        </w:rPr>
        <w:t>wej.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Respondenci wskazali także na istotne niedogodności w sferze technicznej i przestrzenno-funkcjonalnej, w kolejności: małe zasoby mieszkaniowe, zły stan budynków mieszkalnych, słabą komunikację miejską oraz niedostateczną dostępność infrastruktury </w:t>
      </w:r>
      <w:r>
        <w:rPr>
          <w:color w:val="000000"/>
          <w:u w:color="000000"/>
        </w:rPr>
        <w:t>publicznej dla osób z niepełnosprawnością.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֍ Zgodnie z Obwieszczeniem Prezydenta Miasta Piotrkowa Trybunalskiego z dnia 8 lutego 2023 roku przeprowadzono konsultacje społeczne projektu uchwały Rady Miasta w sprawie wyznaczenia obszaru zdegradowanego i rewi</w:t>
      </w:r>
      <w:r>
        <w:rPr>
          <w:color w:val="000000"/>
          <w:u w:color="000000"/>
        </w:rPr>
        <w:t xml:space="preserve">talizacji miasta Piotrków Trybunalski. Konsultacje przeprowadzono w dniach </w:t>
      </w:r>
      <w:r>
        <w:rPr>
          <w:b/>
          <w:color w:val="000000"/>
          <w:u w:color="000000"/>
        </w:rPr>
        <w:t>od dnia 17 lutego 2023 roku do dnia 18 marca 2023 roku</w:t>
      </w:r>
      <w:r>
        <w:rPr>
          <w:color w:val="000000"/>
          <w:u w:color="000000"/>
        </w:rPr>
        <w:t>. W okresie tym udostępniono projekt przedmiotowej uchwały wraz z załącznikiem – mapą obszaru zdegradowanego i mapą obszaru rew</w:t>
      </w:r>
      <w:r>
        <w:rPr>
          <w:color w:val="000000"/>
          <w:u w:color="000000"/>
        </w:rPr>
        <w:t xml:space="preserve">italizacji. Dokumenty dostępne były na stronie Urzędu Miasta oraz w wyznaczonym pomieszczeniu w czasie pracy Urzędu. 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Formami konsultacji społecznych były: wypełnienie formularza konsultacyjnego (ankieta), zbieranie uwag ustnych w siedzibie Urzędu Miasta w</w:t>
      </w:r>
      <w:r>
        <w:rPr>
          <w:color w:val="000000"/>
          <w:u w:color="000000"/>
        </w:rPr>
        <w:t> godzinach pracy Urzędu oraz zbieranie uwag w postaci papierowej i elektronicznej.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Uwagi w postaci papierowej i elektronicznej można było składać na udostępnionym formularzu konsultacyjnym w nieprzekraczalnym terminie do 18.03.2023 r.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Do daty zakończenia konsultacji, tj. dnia 18 marca 2023 r. włącznie, nie zgłoszono jakichkolwiek uwag lub propozycji wprowadzenia zmian do projektu konsultowanych dokumentów a to prowadzi do wniosku, iż </w:t>
      </w:r>
      <w:r>
        <w:rPr>
          <w:b/>
          <w:color w:val="000000"/>
          <w:u w:color="000000"/>
        </w:rPr>
        <w:t>wyznaczony w projekcie uchwały Rady Miasta obszar zde</w:t>
      </w:r>
      <w:r>
        <w:rPr>
          <w:b/>
          <w:color w:val="000000"/>
          <w:u w:color="000000"/>
        </w:rPr>
        <w:t>gradowany i obszar rewitalizacji miasta Piotrków Trybunalski uzyskał akceptację wszystkich uczestniczących i wypowiadających się interesariuszy, którzy nie zaproponowali jakichkolwiek zmian w projektowanej uchwale</w:t>
      </w:r>
      <w:r>
        <w:rPr>
          <w:b/>
          <w:i/>
          <w:color w:val="000000"/>
          <w:u w:color="000000"/>
        </w:rPr>
        <w:t>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֍ Zgodnie z Obwieszczeniem Prezydenta Mia</w:t>
      </w:r>
      <w:r>
        <w:rPr>
          <w:color w:val="000000"/>
          <w:u w:color="000000"/>
        </w:rPr>
        <w:t xml:space="preserve">sta Piotrkowa Trybunalskiego z dnia 10 maja 2023 roku, </w:t>
      </w:r>
      <w:r>
        <w:rPr>
          <w:b/>
          <w:color w:val="000000"/>
          <w:u w:color="000000"/>
        </w:rPr>
        <w:t>w dniach 17.05. 2023 – 30.06.2023 roku</w:t>
      </w:r>
      <w:r>
        <w:rPr>
          <w:color w:val="000000"/>
          <w:u w:color="000000"/>
        </w:rPr>
        <w:t xml:space="preserve"> przeprowadzono konsultacje społeczne w sprawie propozycji przedsięwzięć rewitalizacyjnych w ramach niniejszego GPR.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Formami konsultacji były: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zbieranie uwag/pro</w:t>
      </w:r>
      <w:r>
        <w:rPr>
          <w:color w:val="000000"/>
          <w:u w:color="000000"/>
        </w:rPr>
        <w:t>pozycji (fiszek projektowych) z wykorzystaniem wskazanej w ogłoszeniu strony internetowej,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przyjmowaniu bezpośrednich uwag/propozycji interesariuszy we wskazanym w ogłoszeniu miejscu w UM.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zbieranie uwag/propozycji telefonicznych przez wskazanych w ogł</w:t>
      </w:r>
      <w:r>
        <w:rPr>
          <w:color w:val="000000"/>
          <w:u w:color="000000"/>
        </w:rPr>
        <w:t>oszeniu pracowników UM.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 xml:space="preserve"> spacery badawcze przeprowadzone w dniu 25 maja 2023 roku we wszystkich trzech podobszarach rewitalizacji (szczegółowe informacje wraz z wnioskami zawarto </w:t>
      </w:r>
      <w:r>
        <w:rPr>
          <w:b/>
          <w:color w:val="000000"/>
          <w:u w:color="000000"/>
        </w:rPr>
        <w:t>w rozdz. 5.3 Programu).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W całym okresie konsultacji społecznych formularz „</w:t>
      </w:r>
      <w:r>
        <w:rPr>
          <w:color w:val="000000"/>
          <w:u w:color="000000"/>
        </w:rPr>
        <w:t>fiszki projektowej’ dostępny był na wskazanej w ogłoszeniu stronie internetowej oraz we wskazanych miejscach spotkań i zbierania propozycji/uwag.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֍ Kolejnym etapem konsultacji społecznych jest przekazanie do opinii społecznej projektu Gminnego Programu Rew</w:t>
      </w:r>
      <w:r>
        <w:rPr>
          <w:color w:val="000000"/>
          <w:u w:color="000000"/>
        </w:rPr>
        <w:t>italizacji dla miasta Piotrków Trybunalski na lata 2024-2030.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Zgodnie z Obwieszczeniem Prezydenta Miasta Piotrków Trybunalski z dnia 1 września 2023 roku poddano konsultacjom społecznym projekt Gminnego Programu Rewitalizacji dla Miasta Piotrków Trybunalsk</w:t>
      </w:r>
      <w:r>
        <w:rPr>
          <w:color w:val="000000"/>
          <w:u w:color="000000"/>
        </w:rPr>
        <w:t>i na lata 2024-2030. Konsultacje przeprowadzono w dniach od 8 września 2023 r. do 7 października 2023 r. W okresie tym projekt przedmiotowego dokumentu dostępny był wglądu na stronie internetowej Urzędu Miasta w Piotrkowie Trybunalskim – www.piotrkow.pl w </w:t>
      </w:r>
      <w:r>
        <w:rPr>
          <w:color w:val="000000"/>
          <w:u w:color="000000"/>
        </w:rPr>
        <w:t>Biuletynie Informacji Publicznej (BIP) oraz w zakładce Gospodarka/Programy i strategie/GPR 2030.</w:t>
      </w:r>
    </w:p>
    <w:p w:rsidR="00A77B3E" w:rsidRDefault="00EC7227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Uwagi do projektu uchwały można było składać na formularzu konsultacyjnym w postaci: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 xml:space="preserve">papierowej 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złożonej osobiście w punkcie informacyjnym tut. Urzędu,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przesłanej na adres: Urząd Miasta Piotrkowa Trybunalskiego, ul. Farna 8,</w:t>
      </w:r>
      <w:r>
        <w:rPr>
          <w:color w:val="000000"/>
          <w:u w:color="000000"/>
        </w:rPr>
        <w:br/>
        <w:t>97-300 Piotrków Trybunalski,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elektronicznej 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poprzez wypełnienie formularza interaktywnego na stronie www.piotrkow.pl.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 dnia 7 października 2023 r. włącznie, nie zgłoszono jakich</w:t>
      </w:r>
      <w:r>
        <w:rPr>
          <w:color w:val="000000"/>
          <w:u w:color="000000"/>
        </w:rPr>
        <w:t>kolwiek uwag lub propozycji wprowadzenia zmian do projektu konsultowanego dokumentu.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13.2.</w:t>
      </w:r>
      <w:r>
        <w:rPr>
          <w:b/>
          <w:color w:val="000000"/>
          <w:u w:color="000000"/>
        </w:rPr>
        <w:t>Uspołecznienie procesu wdrażania i monitorowania GPR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Podstawowym celem działań związanych z uspołecznieniem Gminnego Programu Rewitalizacji dla Miasta Piotrków Trybun</w:t>
      </w:r>
      <w:r>
        <w:rPr>
          <w:color w:val="000000"/>
          <w:u w:color="000000"/>
        </w:rPr>
        <w:t>alski na lata 2024-2030 jest dotarcie do jak najszerszej grupy beneficjentów i interesariuszy. Proces partycypacji społeczności lokalnej w realizacji</w:t>
      </w:r>
      <w:r>
        <w:rPr>
          <w:color w:val="000000"/>
          <w:u w:color="000000"/>
        </w:rPr>
        <w:br/>
        <w:t>i monitorowaniu GPR odbywać się będzie: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pośrednio – poprzez informowanie z wykorzystaniem strony intern</w:t>
      </w:r>
      <w:r>
        <w:rPr>
          <w:color w:val="000000"/>
          <w:u w:color="000000"/>
        </w:rPr>
        <w:t>etowej Miasta, publikacje promocyjne i informacyjne,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bezpośrednio – podczas spotkań z mieszkańcami, przedstawicielami lokalnych środowisk oraz z organizacjami pozarządowymi, dopuszczalna formuła zdalna.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Interesariuszami procesu rewitalizacji, w stosunku</w:t>
      </w:r>
      <w:r>
        <w:rPr>
          <w:color w:val="000000"/>
          <w:u w:color="000000"/>
        </w:rPr>
        <w:t xml:space="preserve"> do których prowadzona będzie polityka komunikacji i informacji będą: mieszkańcy miasta, mieszkańcy obszaru rewitalizacji (w tym także poszczególne grupy społeczne, takie jak młodzież, seniorzy, osoby z niepełnosprawnościami itp.), lokalni przedsiębiorcy, </w:t>
      </w:r>
      <w:r>
        <w:rPr>
          <w:color w:val="000000"/>
          <w:u w:color="000000"/>
        </w:rPr>
        <w:t>organizacje pozarządowe i grupy nieformalne.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ramach rozpowszechniania informacji o Gminnym Programie Rewitalizacji podejmowane będą w szczególności takie działania jak: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● umieszczenie na stronie internetowej Urzędu Miasta Gminnego Programu Rewitalizacji </w:t>
      </w:r>
      <w:r>
        <w:rPr>
          <w:color w:val="000000"/>
          <w:u w:color="000000"/>
        </w:rPr>
        <w:t>dla Miasta Piotrków Trybunalski na lata 2024-2030,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● publikowanie informacji na stronie internetowej Urzędu o poszczególnych realizowanych zadaniach w ramach GPR,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● publikowanie na stronie internetowej Urzędu raportów o realizacji GPR, w tym objętych monit</w:t>
      </w:r>
      <w:r>
        <w:rPr>
          <w:color w:val="000000"/>
          <w:u w:color="000000"/>
        </w:rPr>
        <w:t>orowaniem wskaźników – w terminach i zakresie określonym w rozdziale 12.1.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fazie monitorowania Programu planuje się ponadto organizację spotkań, podczas których prezentowane będą cykliczne raporty i analizy dotyczące postępów realizowanych działań. Inter</w:t>
      </w:r>
      <w:r>
        <w:rPr>
          <w:color w:val="000000"/>
          <w:u w:color="000000"/>
        </w:rPr>
        <w:t xml:space="preserve">esariusze Programu będą mogli w sposób czynny uczestniczyć w tych spotkaniach, bezpośrednio poddając dyskusji efektywność prowadzonych prac naprawczych. Tak więc lokalna społeczność, w tym jej liderzy i animatorzy, nie tylko poprzez Komitet Rewitalizacji, </w:t>
      </w:r>
      <w:r>
        <w:rPr>
          <w:color w:val="000000"/>
          <w:u w:color="000000"/>
        </w:rPr>
        <w:t>zostaną włączeni aktywnie w proces monitoringu postępów realizacji Programu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Uspołecznienie wdrażania GPR będzie więc realizowane z wykorzystaniem i wspieraniem rozwoju współpracy pomiędzy mieszkańcami, sektorem publicznym, prywatnym i organi</w:t>
      </w:r>
      <w:r>
        <w:rPr>
          <w:color w:val="000000"/>
          <w:u w:color="000000"/>
        </w:rPr>
        <w:t>zacjami pozarządowymi poprzez: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● przygotowywanie informacji bieżących i okresowych raportów z przebiegu wdrażania Gminnego Programu Rewitalizacji,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● powołanie Komitetu Rewitalizacji składającego się z przedstawicieli różnych grup interesariuszy rewitalizac</w:t>
      </w:r>
      <w:r>
        <w:rPr>
          <w:color w:val="000000"/>
          <w:u w:color="000000"/>
        </w:rPr>
        <w:t>ji. Komitet stanowić będzie forum współpracy i dialogu (NGO, przedsiębiorców, lokalnych liderów, mieszkańców) z organami samorządu terytorialnego w sprawach dotyczących wdrażania, monitorowania i oceny Programu. Będzie on również pełnił funkcję opiniodawcz</w:t>
      </w:r>
      <w:r>
        <w:rPr>
          <w:color w:val="000000"/>
          <w:u w:color="000000"/>
        </w:rPr>
        <w:t>o – doradczą Prezydenta Piotrkowa Trybunalskiego.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14. </w:t>
      </w:r>
      <w:r>
        <w:rPr>
          <w:b/>
          <w:color w:val="000000"/>
          <w:u w:color="000000"/>
        </w:rPr>
        <w:t>Wykaz niezbędnych zmian uchwał i opinii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14.1.</w:t>
      </w:r>
      <w:r>
        <w:rPr>
          <w:b/>
          <w:color w:val="000000"/>
          <w:u w:color="000000"/>
        </w:rPr>
        <w:t>Określenie niezbędnych zmian w uchwałach, o których mowa w art. 21 ust. 1 ustawy z dnia 21 czerwca 2001 r. o ochronie praw lokatorów, mieszkaniowym zasobie g</w:t>
      </w:r>
      <w:r>
        <w:rPr>
          <w:b/>
          <w:color w:val="000000"/>
          <w:u w:color="000000"/>
        </w:rPr>
        <w:t>miny i o zmianie Kodeksu cywilnego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Wszystkie proponowane rozwiązania projektowe w Gminnym Programie Rewitalizacji dla miasta Piotrków Trybunalski na lata 2024-2030 są zgodne z obowiązującymi uchwałami, stąd też nie przewiduje się konieczności zmian lub uch</w:t>
      </w:r>
      <w:r>
        <w:rPr>
          <w:color w:val="000000"/>
          <w:u w:color="000000"/>
        </w:rPr>
        <w:t>ylania przedmiotowych dokumentów. Planowane do realizacji przedsięwzięcia dotyczące mieszkaniowego zasobu miasta będą realizowane zgodnie z przyjętymi uchwałami.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14.2.</w:t>
      </w:r>
      <w:r>
        <w:rPr>
          <w:b/>
          <w:color w:val="000000"/>
          <w:u w:color="000000"/>
        </w:rPr>
        <w:t>Informacja o uchwale ustalającej zasady wyznaczania składu oraz zasady działania Komitetu</w:t>
      </w:r>
      <w:r>
        <w:rPr>
          <w:b/>
          <w:color w:val="000000"/>
          <w:u w:color="000000"/>
        </w:rPr>
        <w:t xml:space="preserve">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Rolą Komitetu Rewitalizacji jest doradztwo Prezydentowi Miasta Piotrkowa Trybunalskiego</w:t>
      </w:r>
      <w:r>
        <w:rPr>
          <w:color w:val="000000"/>
          <w:u w:color="000000"/>
        </w:rPr>
        <w:br/>
        <w:t>w zakresie dbałości o prawidłową realizację GPR, prowadzenie dialogu między interesariuszami procesu rewitalizacji a organami samorządowymi a także uczes</w:t>
      </w:r>
      <w:r>
        <w:rPr>
          <w:color w:val="000000"/>
          <w:u w:color="000000"/>
        </w:rPr>
        <w:t>tnictwo procesie ewaluacji. Zasady wyznaczania składu oraz zasady działania Komitetu Rewitalizacji określa Rada Miasta Piotrkowa Trybunalskiego w drodze uchwały, zapewniając wyłanianie przez interesariuszy ich przedstawicieli. Podjęcie uchwały w tej sprawi</w:t>
      </w:r>
      <w:r>
        <w:rPr>
          <w:color w:val="000000"/>
          <w:u w:color="000000"/>
        </w:rPr>
        <w:t>e będzie poprzedzone konsultacjami społecznymi.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Prezydent Miasta Piotrkowa Trybunalskiego powoła w drodze zarządzenia Komitet Rewitalizacji w terminie niezwłocznym po uchwaleniu przez Radę Miasta zasad wyznaczania składu oraz zasad działania Komitetu Rewit</w:t>
      </w:r>
      <w:r>
        <w:rPr>
          <w:color w:val="000000"/>
          <w:u w:color="000000"/>
        </w:rPr>
        <w:t>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14.3.</w:t>
      </w:r>
      <w:r>
        <w:rPr>
          <w:b/>
          <w:color w:val="000000"/>
          <w:u w:color="000000"/>
        </w:rPr>
        <w:t>Wskazanie sposobu realizacji Gminnego Programu Rewitalizacji w zakresie planowania i zagospodarowania przestrzennego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14.3.1.</w:t>
      </w:r>
      <w:r>
        <w:rPr>
          <w:b/>
          <w:color w:val="000000"/>
          <w:u w:color="000000"/>
        </w:rPr>
        <w:t>Wskazanie zakresu niezbędnych zmian w studium uwarunkowań i kierunków zagospodarowania przestrzennego miasta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Wdrożeni</w:t>
      </w:r>
      <w:r>
        <w:rPr>
          <w:color w:val="000000"/>
          <w:u w:color="000000"/>
        </w:rPr>
        <w:t>e Gminnego Programu Rewitalizacji dla miasta Piotrków Trybunalski na lata 2024-2030, w tym zawartych w nim podstawowych przedsięwzięć rewitalizacyjnych nie wymaga wprowadzenia zmian w obowiązującym Studium Uwarunkowań i Kierunków Zagospodarowani Przestrzen</w:t>
      </w:r>
      <w:r>
        <w:rPr>
          <w:color w:val="000000"/>
          <w:u w:color="000000"/>
        </w:rPr>
        <w:t>nego Miasta Piotrkowa Trybunalskiego, jednakże Gmina zastrzega sobie możliwość wprowadzenia zmian, w razie zmian/aktualizacji w dokumencie GPR.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14.3.2.</w:t>
      </w:r>
      <w:r>
        <w:rPr>
          <w:b/>
          <w:color w:val="000000"/>
          <w:u w:color="000000"/>
        </w:rPr>
        <w:t>Wskazanie miejscowych planów zagospodarowania przestrzennego koniecznych do uchwalenia albo zmiany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Wdroże</w:t>
      </w:r>
      <w:r>
        <w:rPr>
          <w:color w:val="000000"/>
          <w:u w:color="000000"/>
        </w:rPr>
        <w:t>nie podstawowych przedsięwzięć rewitalizacyjnych w ramach Gminnego Programu Rewitalizacji dla miasta Piotrków Trybunalski na lata 2024-2030 nie wymaga uchwalenia lub zmian w miejscowych planach zagospodarowania przestrzennego.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Ewentualna realizacja uzupełn</w:t>
      </w:r>
      <w:r>
        <w:rPr>
          <w:color w:val="000000"/>
          <w:u w:color="000000"/>
        </w:rPr>
        <w:t>iającego przedsięwzięcia B1 wymagać będzie przeprowadzenia oceny konieczności ewentualnych zmian.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14.4.</w:t>
      </w:r>
      <w:r>
        <w:rPr>
          <w:b/>
          <w:color w:val="000000"/>
          <w:u w:color="000000"/>
        </w:rPr>
        <w:t>Informacja o potrzebie ustanowienia Specjalnej Strefy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Gminnym Programie Rewitalizacji dla miasta Piotrków Trybunalski na lata 2024-2030 n</w:t>
      </w:r>
      <w:r>
        <w:rPr>
          <w:color w:val="000000"/>
          <w:u w:color="000000"/>
        </w:rPr>
        <w:t>ie przewiduje się ustanowienia Specjalnej Strefy Rewitalizacji, o której mowa w art. 25 Ustawy</w:t>
      </w:r>
      <w:r>
        <w:rPr>
          <w:color w:val="000000"/>
          <w:u w:color="000000"/>
        </w:rPr>
        <w:br/>
        <w:t>o rewitalizacji z dnia 9 października 2015 roku.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14.5.</w:t>
      </w:r>
      <w:r>
        <w:rPr>
          <w:b/>
          <w:color w:val="000000"/>
          <w:u w:color="000000"/>
        </w:rPr>
        <w:t>Ocena oddziaływania na środowisko Gminnego Programu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art. 48 ust. 1 </w:t>
      </w:r>
      <w:r>
        <w:rPr>
          <w:i/>
          <w:color w:val="000000"/>
          <w:u w:color="000000"/>
        </w:rPr>
        <w:t>ustawy z dnia 3 </w:t>
      </w:r>
      <w:r>
        <w:rPr>
          <w:i/>
          <w:color w:val="000000"/>
          <w:u w:color="000000"/>
        </w:rPr>
        <w:t xml:space="preserve">października 2008 r. o udostępnianiu informacji </w:t>
      </w:r>
      <w:r>
        <w:rPr>
          <w:i/>
          <w:color w:val="000000"/>
          <w:u w:color="000000"/>
        </w:rPr>
        <w:br/>
        <w:t xml:space="preserve">o środowisku i jego ochronie, udziale społeczeństwa w ochronie środowiska oraz o ocenach oddziaływania na </w:t>
      </w:r>
      <w:r>
        <w:rPr>
          <w:i/>
          <w:color w:val="000000"/>
          <w:u w:color="000000"/>
        </w:rPr>
        <w:lastRenderedPageBreak/>
        <w:t>środowisko (tj. Dz. U. z 2023 r., poz. 1094 ze zm.)</w:t>
      </w:r>
      <w:r>
        <w:rPr>
          <w:color w:val="000000"/>
          <w:u w:color="000000"/>
        </w:rPr>
        <w:t xml:space="preserve"> odstąpienie od strategicznej oceny oddziaływania </w:t>
      </w:r>
      <w:r>
        <w:rPr>
          <w:color w:val="000000"/>
          <w:u w:color="000000"/>
        </w:rPr>
        <w:t>na środowisko – poza dokumentami planistycznymi oraz dokumentami z zakresu polityki rozwoju wymienionymi w art. 46 ust. 1 pkt 1 wyżej cyt. ustawy oraz projektami, których realizacja może spowodować znaczące oddziaływanie na obszar Natura 2000 (art. 46 ust.</w:t>
      </w:r>
      <w:r>
        <w:rPr>
          <w:color w:val="000000"/>
          <w:u w:color="000000"/>
        </w:rPr>
        <w:t> 1 pkt 3 wyżej cyt. ustawy) – dotyczyć może wyłącznie projektów, o których mowa w art. 46 ust. 1 pkt 2 tejże ustawy, a mianowicie projektów polityk, strategii, planów lub programów w dziedzinie przemysłu, energetyki, transportu, telekomunikacji, gospodarki</w:t>
      </w:r>
      <w:r>
        <w:rPr>
          <w:color w:val="000000"/>
          <w:u w:color="000000"/>
        </w:rPr>
        <w:t xml:space="preserve"> wodnej, gospodarki odpadami, leśnictwa, rolnictwa, rybołówstwa, turystyki </w:t>
      </w:r>
      <w:r>
        <w:rPr>
          <w:color w:val="000000"/>
          <w:u w:color="000000"/>
        </w:rPr>
        <w:br/>
        <w:t>i wykorzystywania terenu, opracowywanych lub przyjmowanych przez organy administracji, wyznaczających ramy dla późniejszej realizacji przedsięwzięć mogących znacząco oddziaływać na</w:t>
      </w:r>
      <w:r>
        <w:rPr>
          <w:color w:val="000000"/>
          <w:u w:color="000000"/>
        </w:rPr>
        <w:t xml:space="preserve"> środowisko.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Przedmiotowy Program nie jest natomiast dokumentem, o którym mowa w art. 46 ww. ustawy, zatem przepisy art. 48 tejże ustawy nie mają tutaj zastosowania. W związku z powyższym, w ocenie Prezydenta Miasta Piotrków Trybunalski, przedmiotowy </w:t>
      </w:r>
      <w:r>
        <w:rPr>
          <w:color w:val="000000"/>
          <w:u w:color="000000"/>
        </w:rPr>
        <w:t>projekt Programu może być analizowany jedynie w świetle art. 47 ww. ustawy.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Celem Programu jest zminimalizowanie skali występowania negatywnych zjawisk i obszarów problemowych, a także zrównoważony rozwój społeczno-gospodarczy, oparty na zaangażowaniu mies</w:t>
      </w:r>
      <w:r>
        <w:rPr>
          <w:color w:val="000000"/>
          <w:u w:color="000000"/>
        </w:rPr>
        <w:t>zkańców i innych grup interesariuszy Programu. W Programie przedstawiono wieloletni plan działań w sferze społecznej, gospodarczej, środowiskowej, przestrzenno-funkcjonalnej i technicznej, zmierzających do wyprowadzenia obszaru rewitalizacji ze stanu kryzy</w:t>
      </w:r>
      <w:r>
        <w:rPr>
          <w:color w:val="000000"/>
          <w:u w:color="000000"/>
        </w:rPr>
        <w:t>sowego i poprawy warunków życia mieszkańców.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 uwagi na niewielką skalę planowanych inwestycji oraz ze względu na fakt, że inwestycje te dotyczą w większości obiektów istniejących, znajdujących się poza terenami o szczególnych walorach przyrodniczych, </w:t>
      </w:r>
      <w:r>
        <w:rPr>
          <w:color w:val="000000"/>
          <w:u w:color="000000"/>
        </w:rPr>
        <w:t>realizacja ustaleń Programu nie powinna wpłynąć negatywnie na środowisko przyrodnicze i walory krajobrazowe miasta. Ponadto realizacja wymienionych w </w:t>
      </w:r>
      <w:r>
        <w:rPr>
          <w:i/>
          <w:color w:val="000000"/>
          <w:u w:color="000000"/>
        </w:rPr>
        <w:t xml:space="preserve">Programie </w:t>
      </w:r>
      <w:r>
        <w:rPr>
          <w:color w:val="000000"/>
          <w:u w:color="000000"/>
        </w:rPr>
        <w:t>przedsięwzięć nie będzie obejmować bezpośrednio terenów, na których znajdują się drzewa objęte o</w:t>
      </w:r>
      <w:r>
        <w:rPr>
          <w:color w:val="000000"/>
          <w:u w:color="000000"/>
        </w:rPr>
        <w:t xml:space="preserve">chroną pomnikową. 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Wszystkie z planowanych przedsięwzięć realizowane będą na obszarze jednej gminy, tj. miasta Piotrków Trybunalski. Obszar realizacji jakiegokolwiek z przedsięwzięć rewitalizacyjnych nie jest zaliczany do obszarów Natura 2000. Nie przewidu</w:t>
      </w:r>
      <w:r>
        <w:rPr>
          <w:color w:val="000000"/>
          <w:u w:color="000000"/>
        </w:rPr>
        <w:t>je się także działań trans granicznych i skumulowanych.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powyższym projekt Gminnego Programu Rewitalizacji dla miasta Piotrków Trybunalski na lata 2024-2030 zostanie przedłożony Regionalnemu Dyrektorowi Ochrony Środowiska w Łodzi celem uzgodnienia</w:t>
      </w:r>
      <w:r>
        <w:rPr>
          <w:color w:val="000000"/>
          <w:u w:color="000000"/>
        </w:rPr>
        <w:t xml:space="preserve"> braku potrzeby przeprowadzenia strategicznej oceny oddziaływania na środowisko. W dniu 24 października 2023 roku Dyrektor Regionalny Ochrony Środowiska w Łodzi przekazał pisemną decyzję o braku konieczności przeprowadzenia strategicznej oceny oddziaływani</w:t>
      </w:r>
      <w:r>
        <w:rPr>
          <w:color w:val="000000"/>
          <w:u w:color="000000"/>
        </w:rPr>
        <w:t>a na środowisko dla Programu.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14.6.</w:t>
      </w:r>
      <w:r>
        <w:rPr>
          <w:b/>
          <w:color w:val="000000"/>
          <w:u w:color="000000"/>
        </w:rPr>
        <w:t>Gminny Program Rewitalizacji a ochrona zabytków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Prace konserwatorskie, restauratorskie, roboty budowlane, badania konserwatorskie</w:t>
      </w:r>
      <w:r>
        <w:rPr>
          <w:color w:val="000000"/>
          <w:u w:color="000000"/>
        </w:rPr>
        <w:br/>
        <w:t>i restauratorskie , a także inne działania, które mogłoby prowadzić do naruszenia lub zmian</w:t>
      </w:r>
      <w:r>
        <w:rPr>
          <w:color w:val="000000"/>
          <w:u w:color="000000"/>
        </w:rPr>
        <w:t>y wyglądu obiektów i terenów zabytkowych wpisanych do rejestru zabytków, ujętych w ewidencji zabytków lub wskazane do objęcia ochroną ustaleniami w miejscowym planie zagospodarowania przestrzennego albo w decyzji o ustaleniu lokalizacji inwestycji celu pub</w:t>
      </w:r>
      <w:r>
        <w:rPr>
          <w:color w:val="000000"/>
          <w:u w:color="000000"/>
        </w:rPr>
        <w:t>licznego, będą prowadzone zgodnie z wymogami odrębnych przepisów dotyczących ochrony zabytków.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przypadku </w:t>
      </w:r>
      <w:r>
        <w:rPr>
          <w:b/>
          <w:color w:val="000000"/>
          <w:u w:color="000000"/>
        </w:rPr>
        <w:t xml:space="preserve">obiektów i terenów objętych ochroną zabytków </w:t>
      </w:r>
      <w:r>
        <w:rPr>
          <w:color w:val="000000"/>
          <w:u w:color="000000"/>
        </w:rPr>
        <w:t>przed ewentualnymi planowanymi pracami polegającymi m. in. na remoncie, budowie, modernizacji, iluminacj</w:t>
      </w:r>
      <w:r>
        <w:rPr>
          <w:color w:val="000000"/>
          <w:u w:color="000000"/>
        </w:rPr>
        <w:t>i świetlnej, zagospodarowaniu terenu oraz rewaloryzacji parków skwerów zieleni, Gmina każdorazowo wystąpi do Wojewódzkiego Konserwatora Zabytków o </w:t>
      </w:r>
      <w:r>
        <w:rPr>
          <w:b/>
          <w:color w:val="000000"/>
          <w:u w:color="000000"/>
        </w:rPr>
        <w:t>zalecenia konserwatorskie</w:t>
      </w:r>
      <w:r>
        <w:rPr>
          <w:color w:val="000000"/>
          <w:u w:color="000000"/>
        </w:rPr>
        <w:t xml:space="preserve">. Wskazane prace będą prowadzone </w:t>
      </w:r>
      <w:r>
        <w:rPr>
          <w:b/>
          <w:color w:val="000000"/>
          <w:u w:color="000000"/>
        </w:rPr>
        <w:t xml:space="preserve">zgodnie z wymogami odrębnych przepisów dotyczących </w:t>
      </w:r>
      <w:r>
        <w:rPr>
          <w:b/>
          <w:color w:val="000000"/>
          <w:u w:color="000000"/>
        </w:rPr>
        <w:t>ochrony zabytków</w:t>
      </w:r>
      <w:r>
        <w:rPr>
          <w:color w:val="000000"/>
          <w:u w:color="000000"/>
        </w:rPr>
        <w:t>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zakres działań mających na celu realizację projektu A10 będą zatem włączone działania dotyczące sporządzenie ekspertyzy konserwatora WUOZŁ odnośnie możliwości wyburzenia budynku oraz odtworzenia jego bryły architektonicznej tak, aby nie</w:t>
      </w:r>
      <w:r>
        <w:rPr>
          <w:color w:val="000000"/>
          <w:u w:color="000000"/>
        </w:rPr>
        <w:t> zaburzała ona układu urbanistycznego objętego nadzorem konserwatorskim i była zgodna z jego wytycznymi.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ramach procesu opiniowania GPR Prezydent Miasta Piotrkowa Trybunalskiego uwzględnił postanowienie art. 17 ust. 2 pkt 4) ppkt b) ustawy o rewitalizacj</w:t>
      </w:r>
      <w:r>
        <w:rPr>
          <w:color w:val="000000"/>
          <w:u w:color="000000"/>
        </w:rPr>
        <w:t>i, występując do Wojewódzkiego Konserwatora Zabytków o wydanie opinii dla GPR.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wyniku zgłoszonych przez Wojewódzkiego Konserwatora Zabytków uwag dokonano uzupełnienia niniejszego rozdziału. Przekazane uwagi nt. zbyt wąskiego potraktowania w Programie kwe</w:t>
      </w:r>
      <w:r>
        <w:rPr>
          <w:color w:val="000000"/>
          <w:u w:color="000000"/>
        </w:rPr>
        <w:t xml:space="preserve">stii ochrony </w:t>
      </w:r>
      <w:r>
        <w:rPr>
          <w:color w:val="000000"/>
          <w:u w:color="000000"/>
        </w:rPr>
        <w:lastRenderedPageBreak/>
        <w:t>zabytkowej czy też zbyt krótkiego terminu na złożenie opinii są czysto subiektywne. Tym bardziej, że Program musi być zbudowany z ustawową chronologią. A więc najpierw zdiagnozowano stany kryzysowe. Na podstawie przeprowadzonej diagnozy wyznac</w:t>
      </w:r>
      <w:r>
        <w:rPr>
          <w:color w:val="000000"/>
          <w:u w:color="000000"/>
        </w:rPr>
        <w:t>zono obszar zdegradowany i obszar rewitalizacji. Ten etap został definitywnie zamknięty uchwałą Rady Miasta Piotrkowa Trybunalskiego o wyznaczeniu obszaru zdegradowanego i obszaru rewitalizacji. Przed podjęciem uchwały skorzystano z możliwości skonsultowan</w:t>
      </w:r>
      <w:r>
        <w:rPr>
          <w:color w:val="000000"/>
          <w:u w:color="000000"/>
        </w:rPr>
        <w:t>ia z Urzędem Marszałkowskim w Łodzi prawidłowości przeprowadzonej diagnozy. Taką możliwość wynikała z postanowień rozdz. II pkt 4 „Zasad realizacji instrumentów terytorialnych w Polsce w perspektywie finansowej UE na lata 2021-2027”. Uzyskana wówczas opini</w:t>
      </w:r>
      <w:r>
        <w:rPr>
          <w:color w:val="000000"/>
          <w:u w:color="000000"/>
        </w:rPr>
        <w:t>a Urzędu Marszałkowskiego wskazała, że poza drobnymi uwagami (dot. kwestii kartograficznych) diagnoza sporządzona została prawidłowo. Następnie przeprowadzono, w ramach opracowania Programu, analizę szczegółową wyznaczonego obszaru rewitalizacji, której ra</w:t>
      </w:r>
      <w:r>
        <w:rPr>
          <w:color w:val="000000"/>
          <w:u w:color="000000"/>
        </w:rPr>
        <w:t xml:space="preserve">my wyznacza przeprowadzona wcześniej diagnoza. Zakres analizy szczegółowej </w:t>
      </w:r>
      <w:r>
        <w:rPr>
          <w:b/>
          <w:color w:val="000000"/>
          <w:u w:color="000000"/>
        </w:rPr>
        <w:t>musiał być spójny</w:t>
      </w:r>
      <w:r>
        <w:rPr>
          <w:color w:val="000000"/>
          <w:u w:color="000000"/>
        </w:rPr>
        <w:t xml:space="preserve"> ze zdiagnozowanymi na wstępnym etapie stanami kryzysowymi. Nie można więc oczekiwać szczególnie obszernego potraktowania w analizie szczegółowej obszaru rewitaliza</w:t>
      </w:r>
      <w:r>
        <w:rPr>
          <w:color w:val="000000"/>
          <w:u w:color="000000"/>
        </w:rPr>
        <w:t>cji zagadnień ochrony zabytków w sytuacji, gdy problematyka ta nie została wcześniej zdiagnozowana jako stan kryzysowy. Pamiętać też trzeba, że Gmina nie lekceważy w ten sposób problematyki ochrony zabytków, jedynie porusza ją szczegółowo w innym dokumenci</w:t>
      </w:r>
      <w:r>
        <w:rPr>
          <w:color w:val="000000"/>
          <w:u w:color="000000"/>
        </w:rPr>
        <w:t>e planistycznym jakim jest Gminny Program Opieki nad Zabytkami na lata 2020-2023. Nie ma więc najmniejszej potrzeby powielania szczegółowych informacji z jednego dokumentu programowego w innym Programie.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Konkludując: wprowadzono w ostatecznej wersji Progra</w:t>
      </w:r>
      <w:r>
        <w:rPr>
          <w:color w:val="000000"/>
          <w:u w:color="000000"/>
        </w:rPr>
        <w:t>mu rozszerzenie opisów niektórych przedsięwzięć rewitalizacyjnych, co sugerował WKZ.. Ponadto treść niniejszego rozdziału uzupełniono o poniższe informacje w zakresie ochrony zabytków na obszarze rewitalizacji.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terenie miasta Piotrkowa Trybunalskiego zn</w:t>
      </w:r>
      <w:r>
        <w:rPr>
          <w:color w:val="000000"/>
          <w:u w:color="000000"/>
        </w:rPr>
        <w:t xml:space="preserve">ajduje się 97 zabytków nieruchomych wpisanych do rejestru zabytków. Są to jedne z najcenniejszych elementów krajobrazu kulturowego na terenie miasta. Obiekty te objęte są wszelkimi rygorami prawnymi wynikającymi z treści odpowiednich aktów prawnych, w tym </w:t>
      </w:r>
      <w:r>
        <w:rPr>
          <w:color w:val="000000"/>
          <w:u w:color="000000"/>
        </w:rPr>
        <w:t>przede wszystkim - rygorami ochrony konserwatorskiej wynikającymi z przepisów ustawy ochronie zabytków i opiece nad zabytkami. Wszelkie działania podejmowane przy tego typu obiektach wymagają pisemnego pozwolenia wojewódzkiego konserwatora zabytków. Z ogól</w:t>
      </w:r>
      <w:r>
        <w:rPr>
          <w:color w:val="000000"/>
          <w:u w:color="000000"/>
        </w:rPr>
        <w:t>nej liczby 97 zabytków aż 81 zlokalizowanych jest na obszarze rewitalizacji, w tym w zdecydowanie dominującym zakresie w podobszarze JS 1 – Śródmieście, co ilustruje poniższa tabela.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Zabytki nieruchome na obszarze rewitalizacji wpisane do rejestr</w:t>
      </w:r>
      <w:r>
        <w:rPr>
          <w:b/>
          <w:color w:val="000000"/>
          <w:u w:color="000000"/>
        </w:rPr>
        <w:t>u zabytków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9"/>
        <w:gridCol w:w="3052"/>
        <w:gridCol w:w="3364"/>
        <w:gridCol w:w="867"/>
        <w:gridCol w:w="1509"/>
        <w:gridCol w:w="971"/>
      </w:tblGrid>
      <w:tr w:rsidR="00A916A4">
        <w:trPr>
          <w:trHeight w:val="340"/>
        </w:trPr>
        <w:tc>
          <w:tcPr>
            <w:tcW w:w="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Lp.</w:t>
            </w:r>
          </w:p>
        </w:tc>
        <w:tc>
          <w:tcPr>
            <w:tcW w:w="264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Nazwa</w:t>
            </w:r>
          </w:p>
        </w:tc>
        <w:tc>
          <w:tcPr>
            <w:tcW w:w="29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Adres</w:t>
            </w:r>
          </w:p>
        </w:tc>
        <w:tc>
          <w:tcPr>
            <w:tcW w:w="75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Pod obszar </w:t>
            </w:r>
          </w:p>
        </w:tc>
        <w:tc>
          <w:tcPr>
            <w:tcW w:w="130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Datacja</w:t>
            </w:r>
          </w:p>
        </w:tc>
        <w:tc>
          <w:tcPr>
            <w:tcW w:w="84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Nr rejestru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Zajazd pod Matką Boską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Pl. Stefana Czarnieckiego 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665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Pl. Stefana Czarnieckiego 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 ćw. XX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1116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Pl. Stefana Czarnieckiego 10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XV-XVIII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666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Willa Wanda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Jarosława Dąbrowskiego 14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1905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343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Jarosława Dąbrowskiego 15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końc. 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391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Farna 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XVI/XVII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Farna 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1118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Farna 4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1119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Farna 6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1120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Farna 8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Farna-Grodzka 5-6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667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12</w:t>
            </w:r>
          </w:p>
        </w:tc>
        <w:tc>
          <w:tcPr>
            <w:tcW w:w="26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Mury obronne</w:t>
            </w:r>
          </w:p>
        </w:tc>
        <w:tc>
          <w:tcPr>
            <w:tcW w:w="29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Garncarska</w:t>
            </w:r>
          </w:p>
        </w:tc>
        <w:tc>
          <w:tcPr>
            <w:tcW w:w="7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XIV/XVIII/XX w.</w:t>
            </w:r>
          </w:p>
        </w:tc>
        <w:tc>
          <w:tcPr>
            <w:tcW w:w="8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658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13</w:t>
            </w:r>
          </w:p>
        </w:tc>
        <w:tc>
          <w:tcPr>
            <w:tcW w:w="264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Dwie kamienice</w:t>
            </w:r>
            <w:r>
              <w:rPr>
                <w:color w:val="000000"/>
                <w:u w:color="000000"/>
              </w:rPr>
              <w:br/>
              <w:t>z oficynami</w:t>
            </w:r>
          </w:p>
        </w:tc>
        <w:tc>
          <w:tcPr>
            <w:tcW w:w="291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Grodzka 2</w:t>
            </w:r>
          </w:p>
        </w:tc>
        <w:tc>
          <w:tcPr>
            <w:tcW w:w="75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I poł. XVIII w.</w:t>
            </w:r>
          </w:p>
        </w:tc>
        <w:tc>
          <w:tcPr>
            <w:tcW w:w="84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A/95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Grodzka/Konarskiego 1/2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przed poł. </w:t>
            </w:r>
            <w:r>
              <w:t>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669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Synagoga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Jerozolimska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1791-1793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16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Mała szkoła żydowska</w:t>
            </w:r>
            <w:r>
              <w:rPr>
                <w:color w:val="000000"/>
                <w:u w:color="000000"/>
              </w:rPr>
              <w:br/>
              <w:t>przy Synagodze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Jerozolimska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1765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662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St. Konarskiego/Pijarska 4/5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Klasztor Dominikanek</w:t>
            </w:r>
            <w:r>
              <w:rPr>
                <w:color w:val="000000"/>
                <w:u w:color="000000"/>
              </w:rPr>
              <w:br/>
              <w:t>ob. Sióstr Imienia Jezusa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Pl. </w:t>
            </w:r>
            <w:r>
              <w:t>T. Kościuszki 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1627-1637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065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Mury obronne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Pl. T. Kościuszki 3/5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XIV/XVII/XX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659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 Złoty Róg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 Kościuszki/Rycerska/Sieradzka 6/5/5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1880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426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Łazienna/Mokra/Szewska 1/2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211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22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Mury obronne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Pl. </w:t>
            </w:r>
            <w:r>
              <w:t>Niepodległości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XIV/XVII/XX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656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23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Dworzec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Polskiej Organizacji Wojskowej 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1846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Magazyn ekspedycji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Polskiej Organizacji Wojskowej 3b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ok. 1890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Zespół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ul. Polskiej Organizacji </w:t>
            </w:r>
            <w:r>
              <w:t>Wojskowej/Słowackiego 5/29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1912-1914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Budynek administracyjny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Polskiej Organizacji Wojskowej/Słowackiego 5/9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1846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Kościół kl. rz-kat pod wezw. Św. Franciszka Ksawerego</w:t>
            </w:r>
            <w:r>
              <w:rPr>
                <w:color w:val="000000"/>
                <w:u w:color="000000"/>
              </w:rPr>
              <w:br/>
              <w:t>oo. Jezuitów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Pijarska 4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1701-1727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207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Kolegium nowe, zesp. klaszt. oo. Jezuitów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Pijarska/Kopernik 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1754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Kolegium stare, zesp. klaszt. oo. Jezuitów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Pijarska/Kopernik 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1692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653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Magazyn w zesp. Dworca PKP stacji kolei wąskotor.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ul. </w:t>
            </w:r>
            <w:r>
              <w:t>Przemysłowa 27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1902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Parowozownia kolei wąskotor.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Przemysłowa 27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1902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32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Stacja kolei wąskotor.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Przemysłowa 27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1902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33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Szalet stacyjny kolei wąskotor.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Przemysłowa 27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ok. 1920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ul. </w:t>
            </w:r>
            <w:r>
              <w:t>Rwańska 4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I poł. 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Dom</w:t>
            </w:r>
            <w:r>
              <w:rPr>
                <w:color w:val="000000"/>
                <w:u w:color="000000"/>
              </w:rPr>
              <w:br/>
              <w:t>ob. Kościoła ewang-augsb.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Rwańska 6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1689-1718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674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Kościół klaszt. rz-kat oo. Pijarów, ob. ewang-augsb.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Rwańska 6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1689-1718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659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Rwańska/Sieradzka 2/1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XVIII w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676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 xml:space="preserve">Klasztor </w:t>
            </w:r>
            <w:r>
              <w:rPr>
                <w:color w:val="000000"/>
                <w:u w:color="000000"/>
              </w:rPr>
              <w:t>oo. Pijarów</w:t>
            </w:r>
            <w:r>
              <w:rPr>
                <w:color w:val="000000"/>
                <w:u w:color="000000"/>
              </w:rPr>
              <w:br/>
              <w:t>(były areszt)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Rwańska/Wojska Polskiego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XVII/XVIII w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Kościół kl rz-kat, o.Najświętszej PM Śnieżnej Panien Dominikanek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Rycerska 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1627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675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Plebania Klasztoru</w:t>
            </w:r>
            <w:r>
              <w:rPr>
                <w:color w:val="000000"/>
                <w:u w:color="000000"/>
              </w:rPr>
              <w:br/>
              <w:t>Panien Dominikanek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Rycerska 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130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 4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ok. 1835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682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42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 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1855-1866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426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43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 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683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 10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XV-XIX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684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 11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1849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Trybunalski/ Pl. </w:t>
            </w:r>
            <w:r>
              <w:t>Czarnieckiego 5/1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1124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47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Trybunalski/Grodzka 8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przed 1861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A/95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Trybunalski/ Łazienna/Mokra 12/2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Trybunalski/Rwańska 3/1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przed XVIII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A/18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Rynek Trybunalski/Sieradzka </w:t>
            </w:r>
            <w:r>
              <w:t>2/2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przed 1702 r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681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Rynek Trybunalski/Szewska 1/1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przed 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680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52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Sieradzka 4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Poł. 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1121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53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Sieradzka 8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 poł. 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A/158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Sieradzka/Rycerska 6/10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 poł. XIX w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1122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ul </w:t>
            </w:r>
            <w:r>
              <w:t>Słowackiego 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Poł. XIX w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677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Brama klasztorna</w:t>
            </w:r>
            <w:r>
              <w:rPr>
                <w:color w:val="000000"/>
                <w:u w:color="000000"/>
              </w:rPr>
              <w:br/>
              <w:t>oo. Bernardynów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1625-1643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062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Klasztor oo. Bernardynów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1625-1643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Kościół kl. rz-kat. pw. MB Anielskiej i Św. Krzyża</w:t>
            </w:r>
            <w:r>
              <w:rPr>
                <w:color w:val="000000"/>
                <w:u w:color="000000"/>
              </w:rPr>
              <w:br/>
              <w:t>oo. Bernardynów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1632-1640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59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Ogrodzenie klasztorne</w:t>
            </w:r>
            <w:r>
              <w:rPr>
                <w:color w:val="000000"/>
                <w:u w:color="000000"/>
              </w:rPr>
              <w:br/>
              <w:t>oo. Bernardynów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1735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1873-1876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Sąd i Starostwo Powiatowe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1906-1908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278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62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 xml:space="preserve">ul. </w:t>
            </w:r>
            <w:r>
              <w:t>J. Słowackiego 13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1845-1847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679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63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Dom pracowników kolei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1879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Dom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1846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Koszary drogowe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1846-1887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Magazyn zasobów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1874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Parowozownia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1870-1871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Piwnica na naftę i olej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pocz. XX w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Piwnica na naftę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pocz. XX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Pompownia nr 2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ok. 1915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Warsztaty</w:t>
            </w:r>
            <w:r>
              <w:rPr>
                <w:color w:val="000000"/>
                <w:u w:color="000000"/>
              </w:rPr>
              <w:br/>
              <w:t>w zespole dworca PKP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29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1846-1873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440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72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Cerkiew</w:t>
            </w:r>
            <w:r>
              <w:rPr>
                <w:color w:val="000000"/>
                <w:u w:color="000000"/>
              </w:rPr>
              <w:br/>
              <w:t>pw. Wszystkich Świętych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J. Słowackiego 15-16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1844-1847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265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73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Układ przestrzenny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Stare Miasto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XIII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002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74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Gimnazjum żeńskie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Stronczyńskiego 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1890-1897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A/60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75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Szewska/Rycerska 3/12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I poł. 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1123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76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Kaplica rz.-kat. pw. Matki Bolesnej Różańcowej</w:t>
            </w:r>
            <w:r>
              <w:rPr>
                <w:color w:val="000000"/>
                <w:u w:color="000000"/>
              </w:rPr>
              <w:br/>
              <w:t>oo. Dominikanów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Wojska Polskiego 35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1612-1624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657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77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Klasztor podominikański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Wojska Polskiego 35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1331-1370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202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78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Kościół kl. rz-kat.</w:t>
            </w:r>
            <w:r>
              <w:rPr>
                <w:color w:val="000000"/>
                <w:u w:color="000000"/>
              </w:rPr>
              <w:br/>
              <w:t>pw. śś. Jacka i Doroty</w:t>
            </w:r>
            <w:r>
              <w:rPr>
                <w:color w:val="000000"/>
                <w:u w:color="000000"/>
              </w:rPr>
              <w:br/>
            </w:r>
            <w:r>
              <w:rPr>
                <w:color w:val="000000"/>
                <w:u w:color="000000"/>
              </w:rPr>
              <w:lastRenderedPageBreak/>
              <w:t>oo. Dominikanów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ul.</w:t>
            </w:r>
            <w:r>
              <w:t xml:space="preserve"> Wojska Polskiego 35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1331-1370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201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79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Dom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Wojska Polskiego /Jerozolimska 5/3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XIX w.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685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80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Zamek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Pl. Zamkowy 4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1609-1521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209</w:t>
            </w:r>
          </w:p>
        </w:tc>
      </w:tr>
      <w:tr w:rsidR="00A916A4">
        <w:trPr>
          <w:trHeight w:val="340"/>
        </w:trPr>
        <w:tc>
          <w:tcPr>
            <w:tcW w:w="57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81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rPr>
                <w:color w:val="000000"/>
                <w:u w:color="000000"/>
              </w:rPr>
              <w:t>Park Miejski</w:t>
            </w:r>
            <w:r>
              <w:rPr>
                <w:color w:val="000000"/>
                <w:u w:color="000000"/>
              </w:rPr>
              <w:br/>
              <w:t>im ks. J. Poniatowskiego</w:t>
            </w:r>
          </w:p>
        </w:tc>
        <w:tc>
          <w:tcPr>
            <w:tcW w:w="291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ul. Żeromskiego/Żwirki</w:t>
            </w:r>
          </w:p>
        </w:tc>
        <w:tc>
          <w:tcPr>
            <w:tcW w:w="75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JS15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1916-1927 r.</w:t>
            </w:r>
          </w:p>
        </w:tc>
        <w:tc>
          <w:tcPr>
            <w:tcW w:w="84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77B3E" w:rsidRDefault="00EC7227">
            <w:pPr>
              <w:jc w:val="center"/>
              <w:rPr>
                <w:color w:val="000000"/>
                <w:u w:color="000000"/>
              </w:rPr>
            </w:pPr>
            <w:r>
              <w:t>373</w:t>
            </w:r>
          </w:p>
        </w:tc>
      </w:tr>
    </w:tbl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Najcenniejsze </w:t>
      </w:r>
      <w:r>
        <w:rPr>
          <w:color w:val="000000"/>
          <w:u w:color="000000"/>
        </w:rPr>
        <w:t>zabytki ruchome z terenu miasta Piotrków Trybunalski wpisane są do rejestru zabytków ruchomych. Stanowią one głównie wyposażenie i wystrój obiektów sakralnych. Ze względów bezpieczeństwa nie publikuje się szczegółowych danych dotyczących tych obiektów.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</w:t>
      </w:r>
      <w:r>
        <w:rPr>
          <w:color w:val="000000"/>
          <w:u w:color="000000"/>
        </w:rPr>
        <w:t>gminnej ewidencji zabytków ujęto: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color w:val="000000"/>
          <w:u w:color="000000"/>
        </w:rPr>
        <w:t>zabytki nieruchome wpisane do rejestru,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inne zabytki nieruchome znajdujące się w wojewódzkiej ewidencji zabytków,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inne zabytki nieruchome wyznaczone przez prezydenta miasta w porozumieniu</w:t>
      </w:r>
      <w:r>
        <w:rPr>
          <w:color w:val="000000"/>
          <w:u w:color="000000"/>
        </w:rPr>
        <w:br/>
        <w:t>z wojewódzkim konserwator</w:t>
      </w:r>
      <w:r>
        <w:rPr>
          <w:color w:val="000000"/>
          <w:u w:color="000000"/>
        </w:rPr>
        <w:t>em zabytków.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Gminna ewidencja zabytków miasta Piotrkowa Trybunalskiego (GEZ) została przyjęta Zarządzeniem nr 61 Prezydenta Miasta Piotrkowa Trybunalskiego z dnia 3 marca 2014 r. w sprawie założenia gminnej ewidencji zabytków Miasta Piotrkowa </w:t>
      </w:r>
      <w:r>
        <w:rPr>
          <w:color w:val="000000"/>
          <w:u w:color="000000"/>
        </w:rPr>
        <w:t>Trybunalskiego w formie zbioru kart adresowych zabytków nieruchomych oraz zabytków archeologicznych z terenu gminy Miasta Piotrkowa Trybunalskiego. Gminna ewidencja zabytków jest dokumentem otwartym, stale weryfikowana i aktualizowana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Szczegółowe informacj</w:t>
      </w:r>
      <w:r>
        <w:rPr>
          <w:color w:val="000000"/>
          <w:u w:color="000000"/>
        </w:rPr>
        <w:t>e w tym wykaz obiektów ujętych w gminnej ewidencji zawarte są w rozdziale 5.5 Gminnego Programu Opieki nad Zabytkami na lata 2020-2023.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14.7.</w:t>
      </w:r>
      <w:r>
        <w:rPr>
          <w:b/>
          <w:color w:val="000000"/>
          <w:u w:color="000000"/>
        </w:rPr>
        <w:t>Gminny Program Rewitalizacji a ochrona przyrody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Na obszarze rewitalizacji, jeśli w lokalizacji realizowanych przeds</w:t>
      </w:r>
      <w:r>
        <w:rPr>
          <w:color w:val="000000"/>
          <w:u w:color="000000"/>
        </w:rPr>
        <w:t xml:space="preserve">ięwzięć rewitalizacyjnych </w:t>
      </w:r>
      <w:r>
        <w:rPr>
          <w:b/>
          <w:color w:val="000000"/>
          <w:u w:color="000000"/>
        </w:rPr>
        <w:t>występują formy ochrony przyrody</w:t>
      </w:r>
      <w:r>
        <w:rPr>
          <w:color w:val="000000"/>
          <w:u w:color="000000"/>
        </w:rPr>
        <w:t xml:space="preserve">, wszelkie podejmowane działania będą prowadzone </w:t>
      </w:r>
      <w:r>
        <w:rPr>
          <w:b/>
          <w:color w:val="000000"/>
          <w:u w:color="000000"/>
        </w:rPr>
        <w:t xml:space="preserve">zgodnie z wymogami odrębnych przepisów </w:t>
      </w:r>
      <w:r>
        <w:rPr>
          <w:color w:val="000000"/>
          <w:u w:color="000000"/>
        </w:rPr>
        <w:t>dotyczących ustanowionych form ochrony przyrody.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14.8.</w:t>
      </w:r>
      <w:r>
        <w:rPr>
          <w:b/>
          <w:color w:val="000000"/>
          <w:u w:color="000000"/>
        </w:rPr>
        <w:t>Wykaz niezbędnych opinii do Gminnego Programu Rewitaliza</w:t>
      </w:r>
      <w:r>
        <w:rPr>
          <w:b/>
          <w:color w:val="000000"/>
          <w:u w:color="000000"/>
        </w:rPr>
        <w:t>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Dla projektu Gminnego Program Rewitalizacji dla miasta Piotrków Trybunalski na lata 2024-2030 Prezydent Miasta Piotrkowa Trybunalskiego </w:t>
      </w:r>
      <w:r>
        <w:rPr>
          <w:b/>
          <w:color w:val="000000"/>
          <w:u w:color="000000"/>
        </w:rPr>
        <w:t xml:space="preserve">wystąpił o wydanie opinii przez podmioty wskazane w art. 17 ust. 2 pkt 4a) ustawy o rewitalizacji oraz </w:t>
      </w:r>
      <w:r>
        <w:rPr>
          <w:color w:val="000000"/>
          <w:u w:color="000000"/>
        </w:rPr>
        <w:t xml:space="preserve">w przypadku, </w:t>
      </w:r>
      <w:r>
        <w:rPr>
          <w:color w:val="000000"/>
          <w:u w:color="000000"/>
        </w:rPr>
        <w:t>gdy jest to uzasadnione specyfiką obszaru rewitalizacji także przez podmioty wymienione w pkt 4b).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Projekt Programu przekazano do zaopiniowania do następujących podmiotów: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zarząd powiatu piotrkowskiego w P</w:t>
      </w:r>
      <w:r>
        <w:rPr>
          <w:color w:val="000000"/>
          <w:u w:color="000000"/>
        </w:rPr>
        <w:t>iotrkowie Trybunalskim w zakresie zgodności ze strategią rozwoju powiatu,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 xml:space="preserve">zarząd województwa łódzkiego w Łodzi w zakresie zgodności z planem zagospodarowania przestrzennego województwa i strategią rozwoju </w:t>
      </w:r>
      <w:r>
        <w:rPr>
          <w:color w:val="000000"/>
          <w:u w:color="000000"/>
        </w:rPr>
        <w:t>województwa,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wojewoda łódzki, Łódzki Urząd Wojewódzki w Łodzi w zakresie zgodności z zadaniami rządowymi służącymi realizacji celu publicznego określonego w art. 6 ustawy z dnia 21 sierpnia 1997 r. o gospo</w:t>
      </w:r>
      <w:r>
        <w:rPr>
          <w:color w:val="000000"/>
          <w:u w:color="000000"/>
        </w:rPr>
        <w:t>darce nieruchomościami,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właściwe organy wojskowe, ochrony granic oraz bezpieczeństwa państwa w zakresie wymagań bezpieczeństwa i obronności, z tego: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a.Wojewódzki Sztab Wojskowy w Łodzi (Centralne Wojskowe </w:t>
      </w:r>
      <w:r>
        <w:rPr>
          <w:color w:val="000000"/>
          <w:u w:color="000000"/>
        </w:rPr>
        <w:t>Centrum Rekrutacji Ośrodek Zamiejscowy w Łodzi),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b.Nadwiślański Oddział Straży Granicznej im. Powstania Warszawskiego</w:t>
      </w:r>
      <w:r>
        <w:rPr>
          <w:color w:val="000000"/>
          <w:u w:color="000000"/>
        </w:rPr>
        <w:br/>
        <w:t>w Warszawie,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c.Komenda Miejska Policji w Piotrkowie Trybunalskim.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komendant miejski Pań</w:t>
      </w:r>
      <w:r>
        <w:rPr>
          <w:color w:val="000000"/>
          <w:u w:color="000000"/>
        </w:rPr>
        <w:t>stwowej Straży Pożarnej w Piotrkowie Trybunalskim w zakresie ochrony przeciwpożarowej,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miejska komisja urbanistyczno-architektoniczna w Piotrkowie Trybunalskim w zakresie działania komisji,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 xml:space="preserve">MERGEFIELD </w:instrText>
      </w:r>
      <w:r>
        <w:rPr>
          <w:color w:val="000000"/>
          <w:u w:color="000000"/>
        </w:rPr>
        <w:instrText>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zarząd dróg i utrzymania miasta w Piotrkowie Trybunalskim w zakresie działania ZDiUM,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zarząd dróg wojewódzkich w Łodzi w zakresie działania ZDW,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 xml:space="preserve">PKP SA w zakresie </w:t>
      </w:r>
      <w:r>
        <w:rPr>
          <w:color w:val="000000"/>
          <w:u w:color="000000"/>
        </w:rPr>
        <w:t>działania PKP,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Generalna Dyrekcja Dróg Krajowych i Autostrad Oddział w Łodzi w zakresie działania GDDKiA,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Krajowy Zasób Nieruchomości, o którym mowa w ust</w:t>
      </w:r>
      <w:r>
        <w:rPr>
          <w:color w:val="000000"/>
          <w:u w:color="000000"/>
        </w:rPr>
        <w:t>awie z dnia 20 lipca 2017 r. o Krajowym Zasobie Nieruchomości (Dz. U. z 2020 r. poz. 1100 i 2127 oraz z 2021 r. poz. 11 i 223) w zakresie sposobu zagospodarowania oraz przedsięwzięć związanych z nieruchomościami wchodzącymi w skład Zasobu Nieruchomości,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</w:instrText>
      </w:r>
      <w:r>
        <w:rPr>
          <w:color w:val="000000"/>
          <w:u w:color="000000"/>
        </w:rPr>
        <w:instrText>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Regionalny Dyrektor Ochrony Środowiska w Łodzi w zakresie form ochrony przyrody,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Państwowy Wojewódzki Inspektor Sanitarny w Łodzi w zakresie działania PWIS,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Łódzki Wojewódzki Konserwator Zabytków w zakresie form ochrony zabytków,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PGE Dystrybucja SA Oddział w Łodzi, rejon energetyczny Piotrków Trybunalski w za</w:t>
      </w:r>
      <w:r>
        <w:rPr>
          <w:color w:val="000000"/>
          <w:u w:color="000000"/>
        </w:rPr>
        <w:t>kresie działania Operatora,</w:t>
      </w:r>
    </w:p>
    <w:p w:rsidR="00A77B3E" w:rsidRDefault="00EC7227">
      <w:pPr>
        <w:keepLines/>
        <w:spacing w:before="120" w:after="120"/>
        <w:ind w:left="227" w:hanging="113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instrText>MERGEFIELD COMMONPART_OF_POINTS \* MERGEFORMAT</w:instrText>
      </w:r>
      <w:r>
        <w:rPr>
          <w:color w:val="000000"/>
          <w:u w:color="000000"/>
        </w:rPr>
        <w:fldChar w:fldCharType="separate"/>
      </w:r>
      <w:r>
        <w:t>– </w:t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dyrektor regionalnego zarządu gospodarki wodnej Państwowego Gospodarstwa Wodnego Wody Polskie w Łodzi w zakresie zagospodarowania obszarów szczególnego zagrożenia powodzią.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Z </w:t>
      </w:r>
      <w:r>
        <w:rPr>
          <w:color w:val="000000"/>
          <w:u w:color="000000"/>
        </w:rPr>
        <w:t>wyjątkiem Wojewódzkiego Konserwatora Zabytków wymienione wyżej podmioty wypowiedziały się pozytywnie o dokumencie lub nie wniosły uwag. Kilka podmiotów nie wypowiedziało się, co uznano za brak uwag do przekazanego im Programu.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Krytyczne uwagi Wojewódzkiego</w:t>
      </w:r>
      <w:r>
        <w:rPr>
          <w:color w:val="000000"/>
          <w:u w:color="000000"/>
        </w:rPr>
        <w:t xml:space="preserve"> Konserwatora Zabytków zostały uwzględnione poprzez dopisanie sugerowanych informacji w rozdziałach 8.3 oraz 14.6. W rozdziale 14.6 dodano również tabelę nr 14.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Ponadto, w związku z uwagami przekazanymi przez Urząd Marszałkowski w Łodzi, dodano</w:t>
      </w:r>
      <w:r>
        <w:rPr>
          <w:color w:val="000000"/>
          <w:u w:color="000000"/>
        </w:rPr>
        <w:br/>
        <w:t>w rozdziale</w:t>
      </w:r>
      <w:r>
        <w:rPr>
          <w:color w:val="000000"/>
          <w:u w:color="000000"/>
        </w:rPr>
        <w:t xml:space="preserve"> 4 dwa podrozdziały 4.1 i 4.2 oraz poszerzono zgodnie z sugestią przekazaną przez UM w Łodzi opis sygnatur w załączniku graficznym do Programu.</w:t>
      </w:r>
    </w:p>
    <w:p w:rsidR="00A77B3E" w:rsidRDefault="00EC7227">
      <w:pPr>
        <w:keepLines/>
        <w:spacing w:before="120" w:after="120"/>
        <w:ind w:firstLine="340"/>
        <w:rPr>
          <w:color w:val="000000"/>
          <w:u w:color="000000"/>
        </w:rPr>
      </w:pPr>
      <w:r>
        <w:t>15. </w:t>
      </w:r>
      <w:r>
        <w:rPr>
          <w:b/>
          <w:color w:val="000000"/>
          <w:u w:color="000000"/>
        </w:rPr>
        <w:t>Załącznik graficzny przedstawiający podstawowe zmiany funkcjonalno - przestrzenne obszaru rewitalizacji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Ze w</w:t>
      </w:r>
      <w:r>
        <w:rPr>
          <w:color w:val="000000"/>
          <w:u w:color="000000"/>
        </w:rPr>
        <w:t>zględów technicznych legendę do poszczególnych map podobszarów rewitalizacji przedstawiono odrębnie w poniższej tabeli Zamieszczenie legendy do mapy obszaru rewitalizacji stanowiących załącznik graficzny spowodowałoby, poprzez obszerność opisów zawartych w</w:t>
      </w:r>
      <w:r>
        <w:rPr>
          <w:color w:val="000000"/>
          <w:u w:color="000000"/>
        </w:rPr>
        <w:t> tej legendzie, istotne ograniczenie czytelności zawartych w załączniku informacji.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Tabela  - Legenda do załącznika graficznego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3904761" cy="8309158"/>
            <wp:effectExtent l="0" t="0" r="0" b="0"/>
            <wp:docPr id="100067" name="Obraz 10006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r:embed="rId74" r:link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904761" cy="830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A77B3E">
      <w:pPr>
        <w:spacing w:before="120" w:after="120"/>
        <w:ind w:left="283" w:firstLine="227"/>
        <w:jc w:val="left"/>
        <w:rPr>
          <w:color w:val="000000"/>
          <w:u w:color="000000"/>
        </w:rPr>
      </w:pP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ZAŁĄCZNIKI:</w:t>
      </w:r>
    </w:p>
    <w:p w:rsidR="00A77B3E" w:rsidRDefault="00EC7227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Załączniki graficzne zmian funkcjonalno-przestrzennych na obszarze rewitalizacji dla podobszarów: JS1, JS13, JS15</w:t>
      </w:r>
      <w:r>
        <w:rPr>
          <w:color w:val="000000"/>
          <w:u w:color="000000"/>
        </w:rPr>
        <w:t xml:space="preserve"> – szt. 3</w:t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5680422" cy="8030696"/>
            <wp:effectExtent l="0" t="0" r="0" b="0"/>
            <wp:docPr id="100069" name="Obraz 10006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r:embed="rId76" r:link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80422" cy="80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5781497" cy="8173591"/>
            <wp:effectExtent l="0" t="0" r="0" b="0"/>
            <wp:docPr id="100071" name="Obraz 10007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r:embed="rId78" r:link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81497" cy="817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EC7227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color w:val="000000"/>
          <w:u w:color="000000"/>
        </w:rPr>
        <w:br w:type="page"/>
      </w:r>
      <w:r>
        <w:rPr>
          <w:noProof/>
          <w:color w:val="000000"/>
          <w:u w:color="000000"/>
          <w:lang w:bidi="ar-SA"/>
        </w:rPr>
        <w:lastRenderedPageBreak/>
        <w:drawing>
          <wp:inline distT="0" distB="0" distL="0" distR="0">
            <wp:extent cx="5882572" cy="8316486"/>
            <wp:effectExtent l="0" t="0" r="0" b="0"/>
            <wp:docPr id="100073" name="Obraz 10007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3" name=""/>
                    <pic:cNvPicPr>
                      <a:picLocks noChangeAspect="1"/>
                    </pic:cNvPicPr>
                  </pic:nvPicPr>
                  <pic:blipFill>
                    <a:blip r:embed="rId80" r:link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82572" cy="831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Default="00A77B3E">
      <w:pPr>
        <w:spacing w:before="120" w:after="120"/>
        <w:ind w:left="283" w:firstLine="227"/>
        <w:jc w:val="left"/>
        <w:rPr>
          <w:color w:val="000000"/>
          <w:u w:color="000000"/>
        </w:rPr>
      </w:pPr>
    </w:p>
    <w:sectPr w:rsidR="00A77B3E">
      <w:footerReference w:type="default" r:id="rId82"/>
      <w:endnotePr>
        <w:numFmt w:val="decimal"/>
      </w:endnotePr>
      <w:pgSz w:w="11906" w:h="16838"/>
      <w:pgMar w:top="850" w:right="850" w:bottom="1417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EC7227">
      <w:r>
        <w:separator/>
      </w:r>
    </w:p>
  </w:endnote>
  <w:endnote w:type="continuationSeparator" w:id="0">
    <w:p w:rsidR="00000000" w:rsidRDefault="00EC72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948"/>
      <w:gridCol w:w="3474"/>
    </w:tblGrid>
    <w:tr w:rsidR="00A916A4">
      <w:tc>
        <w:tcPr>
          <w:tcW w:w="6804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left"/>
            <w:rPr>
              <w:sz w:val="18"/>
            </w:rPr>
          </w:pPr>
          <w:r>
            <w:rPr>
              <w:sz w:val="18"/>
            </w:rPr>
            <w:t>Id: 06ED5C6A-98C5-4047-AAC6-D76F92B264A0. Podpisany</w:t>
          </w:r>
        </w:p>
      </w:tc>
      <w:tc>
        <w:tcPr>
          <w:tcW w:w="3402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:rsidR="00A916A4" w:rsidRDefault="00A916A4">
    <w:pPr>
      <w:rPr>
        <w:sz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948"/>
      <w:gridCol w:w="3474"/>
    </w:tblGrid>
    <w:tr w:rsidR="00A916A4">
      <w:tc>
        <w:tcPr>
          <w:tcW w:w="6804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left"/>
            <w:rPr>
              <w:sz w:val="18"/>
            </w:rPr>
          </w:pPr>
          <w:r>
            <w:rPr>
              <w:sz w:val="18"/>
            </w:rPr>
            <w:t>Id: 06ED5C6A-98C5-4047-AAC6-D76F92B264A0. Podpisany</w:t>
          </w:r>
        </w:p>
      </w:tc>
      <w:tc>
        <w:tcPr>
          <w:tcW w:w="3402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:rsidR="00A916A4" w:rsidRDefault="00A916A4">
    <w:pPr>
      <w:rPr>
        <w:sz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236"/>
      <w:gridCol w:w="5118"/>
    </w:tblGrid>
    <w:tr w:rsidR="00A916A4">
      <w:tc>
        <w:tcPr>
          <w:tcW w:w="10092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left"/>
            <w:rPr>
              <w:sz w:val="18"/>
            </w:rPr>
          </w:pPr>
          <w:r>
            <w:rPr>
              <w:sz w:val="18"/>
            </w:rPr>
            <w:t>Id: 06ED5C6A-98C5-4047-AAC6-D76F92B264A0. Podpisany</w:t>
          </w:r>
        </w:p>
      </w:tc>
      <w:tc>
        <w:tcPr>
          <w:tcW w:w="5046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91</w:t>
          </w:r>
          <w:r>
            <w:rPr>
              <w:sz w:val="18"/>
            </w:rPr>
            <w:fldChar w:fldCharType="end"/>
          </w:r>
        </w:p>
      </w:tc>
    </w:tr>
  </w:tbl>
  <w:p w:rsidR="00A916A4" w:rsidRDefault="00A916A4">
    <w:pPr>
      <w:rPr>
        <w:sz w:val="18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948"/>
      <w:gridCol w:w="3474"/>
    </w:tblGrid>
    <w:tr w:rsidR="00A916A4">
      <w:tc>
        <w:tcPr>
          <w:tcW w:w="6804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left"/>
            <w:rPr>
              <w:sz w:val="18"/>
            </w:rPr>
          </w:pPr>
          <w:r>
            <w:rPr>
              <w:sz w:val="18"/>
            </w:rPr>
            <w:t>Id: 06ED5C6A-98C5-4047-AAC6-D76F92B264A0. Podpisany</w:t>
          </w:r>
        </w:p>
      </w:tc>
      <w:tc>
        <w:tcPr>
          <w:tcW w:w="3402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8" w:type="dxa"/>
            <w:bottom w:w="0" w:type="dxa"/>
            <w:right w:w="108" w:type="dxa"/>
          </w:tcMar>
          <w:vAlign w:val="center"/>
          <w:hideMark/>
        </w:tcPr>
        <w:p w:rsidR="00A916A4" w:rsidRDefault="00EC7227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95</w:t>
          </w:r>
          <w:r>
            <w:rPr>
              <w:sz w:val="18"/>
            </w:rPr>
            <w:fldChar w:fldCharType="end"/>
          </w:r>
        </w:p>
      </w:tc>
    </w:tr>
  </w:tbl>
  <w:p w:rsidR="00A916A4" w:rsidRDefault="00A916A4">
    <w:pPr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16A4" w:rsidRDefault="00EC7227">
      <w:r>
        <w:separator/>
      </w:r>
    </w:p>
  </w:footnote>
  <w:footnote w:type="continuationSeparator" w:id="0">
    <w:p w:rsidR="00A916A4" w:rsidRDefault="00EC7227">
      <w:r>
        <w:continuationSeparator/>
      </w:r>
    </w:p>
  </w:footnote>
  <w:footnote w:id="1">
    <w:p w:rsidR="00A916A4" w:rsidRDefault="00EC7227">
      <w:pPr>
        <w:pStyle w:val="Tekstprzypisudolnego"/>
        <w:keepLines/>
        <w:ind w:left="170" w:hanging="170"/>
      </w:pPr>
      <w:r>
        <w:rPr>
          <w:rStyle w:val="Odwoanieprzypisudolnego"/>
        </w:rPr>
        <w:t>1) </w:t>
      </w:r>
      <w:r>
        <w:t>Na podstawie Raportu o stanie Miasta Piotrkowa Trybunalskiego za 2022 rok.</w:t>
      </w:r>
    </w:p>
  </w:footnote>
  <w:footnote w:id="2">
    <w:p w:rsidR="00A916A4" w:rsidRDefault="00EC7227">
      <w:pPr>
        <w:pStyle w:val="Tekstprzypisudolnego"/>
        <w:keepLines/>
        <w:ind w:left="170" w:hanging="170"/>
      </w:pPr>
      <w:r>
        <w:rPr>
          <w:rStyle w:val="Odwoanieprzypisudolnego"/>
        </w:rPr>
        <w:t>2) </w:t>
      </w:r>
      <w:r>
        <w:t>W chwili sporządzania analizy nie dysponowano jeszcze obiektywnymi i weryfikowalnymi</w:t>
      </w:r>
      <w:r>
        <w:t xml:space="preserve"> danymi statystycznymi za rok 2022.</w:t>
      </w:r>
    </w:p>
  </w:footnote>
  <w:footnote w:id="3">
    <w:p w:rsidR="00A916A4" w:rsidRDefault="00EC7227">
      <w:pPr>
        <w:pStyle w:val="Tekstprzypisudolnego"/>
        <w:keepLines/>
        <w:ind w:left="170" w:hanging="170"/>
      </w:pPr>
      <w:r>
        <w:rPr>
          <w:rStyle w:val="Odwoanieprzypisudolnego"/>
        </w:rPr>
        <w:t>3) </w:t>
      </w:r>
      <w:r>
        <w:t>https://piotrkowtrybunalski.naszemiasto.pl/restauracja-europa-popadla-w-ruine-zdjecia/ar/c1-865192</w:t>
      </w:r>
    </w:p>
  </w:footnote>
  <w:footnote w:id="4">
    <w:p w:rsidR="00A916A4" w:rsidRDefault="00EC7227">
      <w:pPr>
        <w:pStyle w:val="Tekstprzypisudolnego"/>
        <w:keepLines/>
        <w:ind w:left="170" w:hanging="170"/>
      </w:pPr>
      <w:r>
        <w:rPr>
          <w:rStyle w:val="Odwoanieprzypisudolnego"/>
        </w:rPr>
        <w:t>4) </w:t>
      </w:r>
      <w:r>
        <w:t>https://epiotrkow.pl/news/Pustostan-grozi-zawaleniem.-Przechodnie-lekcewaza-zagrozenie,46557</w:t>
      </w:r>
    </w:p>
  </w:footnote>
  <w:footnote w:id="5">
    <w:p w:rsidR="00A916A4" w:rsidRDefault="00EC7227">
      <w:pPr>
        <w:pStyle w:val="Tekstprzypisudolnego"/>
        <w:keepLines/>
        <w:ind w:left="170" w:hanging="170"/>
      </w:pPr>
      <w:r>
        <w:rPr>
          <w:rStyle w:val="Odwoanieprzypisudolnego"/>
        </w:rPr>
        <w:t>5) </w:t>
      </w:r>
      <w:r>
        <w:t>https://piotrkowtry</w:t>
      </w:r>
      <w:r>
        <w:t>bunalski.naszemiasto.pl/jezioro-bugaj-w-piotrkowie-zagospodarowanie-zbiornika-znow/ar/c1-8166433</w:t>
      </w:r>
    </w:p>
  </w:footnote>
  <w:footnote w:id="6">
    <w:p w:rsidR="00A916A4" w:rsidRDefault="00EC7227">
      <w:pPr>
        <w:pStyle w:val="Tekstprzypisudolnego"/>
        <w:keepLines/>
        <w:ind w:left="170" w:hanging="170"/>
      </w:pPr>
      <w:r>
        <w:rPr>
          <w:rStyle w:val="Odwoanieprzypisudolnego"/>
        </w:rPr>
        <w:t>6) </w:t>
      </w:r>
      <w:r>
        <w:t>https://epiotrkow.pl/news/czytaj,45591</w:t>
      </w:r>
    </w:p>
  </w:footnote>
  <w:footnote w:id="7">
    <w:p w:rsidR="00A916A4" w:rsidRDefault="00EC7227">
      <w:pPr>
        <w:pStyle w:val="Tekstprzypisudolnego"/>
        <w:keepLines/>
        <w:ind w:left="170" w:hanging="170"/>
      </w:pPr>
      <w:r>
        <w:rPr>
          <w:rStyle w:val="Odwoanieprzypisudolnego"/>
        </w:rPr>
        <w:t>7) </w:t>
      </w:r>
      <w:r>
        <w:t xml:space="preserve">Idea placemakingu wywodzi się z przekonania, że wartość miejsca jest konstruowana w procesie interakcji </w:t>
      </w:r>
      <w:r>
        <w:t>społecznych. Miejsce to uczłowieczona przestrzeń, mająca swoją nazwę, odróżniająca się od innych zarówno przez swoją materialność, jak i aspekty niematerialne. Placemaking może zostać wykorzystany nie tylko w celu zmiany wyglądu miejsca ale również przeksz</w:t>
      </w:r>
      <w:r>
        <w:t>tałcenia miejsc w bardziej użyteczne i przyjazne mieszkańcom (na przykład służące odpoczynkowi, organizacji spotkań), nadania przestrzeni bardziej wszechstronnego charakteru. Tak więc placemaking to nadawanie niedocenianym wcześniej miejscom nowej wartości</w:t>
      </w:r>
      <w:r>
        <w:t>. Tchnięcie życia w zobojętniałą i niezorganizowaną przestrzeń. Włączenie społeczności lokalnej w proces projektowania oraz uznanie jej sprawczości pozwoli trafniej zdiagnozować najważniejsze problemy i pomoże znaleźć ich rozwiązanie. Jako lokalną społeczn</w:t>
      </w:r>
      <w:r>
        <w:t>ość należy rozumieć nie tylko mieszkańców danej przestrzeni, którzy siłą rzeczy wiedzą o niej najwięcej, ale również wszystkich zainteresowanych danym miejscem, na przykład osoby prowadzące działalność gospodarczą w okolicy czy korzystające z obiektów i in</w:t>
      </w:r>
      <w:r>
        <w:t>stytucji leżących w pobliżu.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A77B3E"/>
    <w:rsid w:val="00A916A4"/>
    <w:rsid w:val="00CA2A55"/>
    <w:rsid w:val="00EC7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6EC93963-9F33-4F2F-8CF8-B0E3132A8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Odwoanieprzypisudolnego">
    <w:name w:val="footnote reference"/>
    <w:basedOn w:val="Domylnaczcionkaakapitu"/>
    <w:rsid w:val="00805BCE"/>
    <w:rPr>
      <w:vertAlign w:val="superscript"/>
    </w:rPr>
  </w:style>
  <w:style w:type="paragraph" w:styleId="Tekstprzypisudolnego">
    <w:name w:val="footnote text"/>
    <w:basedOn w:val="Normalny"/>
    <w:rsid w:val="00805BCE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Zalacznik8955229C-A425-4D4E-ABFF-1986E15943B6.emf" TargetMode="External"/><Relationship Id="rId21" Type="http://schemas.openxmlformats.org/officeDocument/2006/relationships/image" Target="media/image8.png"/><Relationship Id="rId42" Type="http://schemas.openxmlformats.org/officeDocument/2006/relationships/image" Target="Zalacznik509C0268-8FDB-497A-991B-5EFE6EC0FCF7.jpg" TargetMode="External"/><Relationship Id="rId47" Type="http://schemas.openxmlformats.org/officeDocument/2006/relationships/image" Target="media/image21.png"/><Relationship Id="rId63" Type="http://schemas.openxmlformats.org/officeDocument/2006/relationships/image" Target="Zalacznik64CD51AF-C60D-4E67-B8B1-A0DB7441AAE4.jpg" TargetMode="External"/><Relationship Id="rId68" Type="http://schemas.openxmlformats.org/officeDocument/2006/relationships/image" Target="media/image31.png"/><Relationship Id="rId84" Type="http://schemas.openxmlformats.org/officeDocument/2006/relationships/theme" Target="theme/theme1.xml"/><Relationship Id="rId16" Type="http://schemas.openxmlformats.org/officeDocument/2006/relationships/image" Target="Zalacznik78CA78BE-E2AA-47CC-ADEF-900C914C1115.emf" TargetMode="External"/><Relationship Id="rId11" Type="http://schemas.openxmlformats.org/officeDocument/2006/relationships/image" Target="media/image3.png"/><Relationship Id="rId32" Type="http://schemas.openxmlformats.org/officeDocument/2006/relationships/image" Target="ZalacznikF6850662-A63A-42BA-85EB-620F2AB51280.jpg" TargetMode="External"/><Relationship Id="rId37" Type="http://schemas.openxmlformats.org/officeDocument/2006/relationships/image" Target="media/image16.png"/><Relationship Id="rId53" Type="http://schemas.openxmlformats.org/officeDocument/2006/relationships/image" Target="Zalacznik0A5F88F9-C9BA-45B5-99DF-F6C8A6A31ECE.jpg" TargetMode="External"/><Relationship Id="rId58" Type="http://schemas.openxmlformats.org/officeDocument/2006/relationships/image" Target="media/image26.png"/><Relationship Id="rId74" Type="http://schemas.openxmlformats.org/officeDocument/2006/relationships/image" Target="media/image33.png"/><Relationship Id="rId79" Type="http://schemas.openxmlformats.org/officeDocument/2006/relationships/image" Target="Zalacznik8CEC1F9E-F6E6-4D8B-A771-7FD07FE3C2FA.png" TargetMode="External"/><Relationship Id="rId5" Type="http://schemas.openxmlformats.org/officeDocument/2006/relationships/endnotes" Target="endnotes.xml"/><Relationship Id="rId61" Type="http://schemas.openxmlformats.org/officeDocument/2006/relationships/image" Target="ZalacznikE51C6DC3-E428-42C0-81FC-CB0B9BEFD3E2.jpg" TargetMode="External"/><Relationship Id="rId82" Type="http://schemas.openxmlformats.org/officeDocument/2006/relationships/footer" Target="footer4.xml"/><Relationship Id="rId19" Type="http://schemas.openxmlformats.org/officeDocument/2006/relationships/image" Target="media/image7.png"/><Relationship Id="rId14" Type="http://schemas.openxmlformats.org/officeDocument/2006/relationships/image" Target="ZalacznikF867ADE4-BF6D-4CD0-A70E-448D9DE30C70.emf" TargetMode="External"/><Relationship Id="rId22" Type="http://schemas.openxmlformats.org/officeDocument/2006/relationships/image" Target="Zalacznik2DA675BC-442C-4876-B297-56D849E2A499.emf" TargetMode="External"/><Relationship Id="rId27" Type="http://schemas.openxmlformats.org/officeDocument/2006/relationships/image" Target="media/image11.png"/><Relationship Id="rId30" Type="http://schemas.openxmlformats.org/officeDocument/2006/relationships/image" Target="Zalacznik17657FBC-86CF-4595-AB55-0FF68C20A367.emf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jpeg"/><Relationship Id="rId48" Type="http://schemas.openxmlformats.org/officeDocument/2006/relationships/image" Target="Zalacznik21E45FCD-3A2E-4EB4-892D-D04A96DE9EFA.jpg" TargetMode="External"/><Relationship Id="rId56" Type="http://schemas.openxmlformats.org/officeDocument/2006/relationships/image" Target="media/image25.png"/><Relationship Id="rId64" Type="http://schemas.openxmlformats.org/officeDocument/2006/relationships/image" Target="media/image29.png"/><Relationship Id="rId69" Type="http://schemas.openxmlformats.org/officeDocument/2006/relationships/image" Target="ZalacznikBE584CC6-E4C9-492D-9FA5-B3CFD7788ED5.emf" TargetMode="External"/><Relationship Id="rId77" Type="http://schemas.openxmlformats.org/officeDocument/2006/relationships/image" Target="Zalacznik89D27AD4-5226-4C32-807A-1C60BD0E353C.png" TargetMode="External"/><Relationship Id="rId8" Type="http://schemas.openxmlformats.org/officeDocument/2006/relationships/image" Target="Zalacznik44A09CD4-807B-4518-9420-8FED9B5D656C.png" TargetMode="External"/><Relationship Id="rId51" Type="http://schemas.openxmlformats.org/officeDocument/2006/relationships/image" Target="media/image23.png"/><Relationship Id="rId72" Type="http://schemas.openxmlformats.org/officeDocument/2006/relationships/image" Target="media/image32.png"/><Relationship Id="rId80" Type="http://schemas.openxmlformats.org/officeDocument/2006/relationships/image" Target="media/image36.png"/><Relationship Id="rId3" Type="http://schemas.openxmlformats.org/officeDocument/2006/relationships/webSettings" Target="webSettings.xml"/><Relationship Id="rId12" Type="http://schemas.openxmlformats.org/officeDocument/2006/relationships/image" Target="Zalacznik9169F9FB-9A04-4AD3-9AFF-2EB64E1E7B02.emf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ZalacznikE55EAFF7-7E54-46B4-99C0-CABE7F7A408D.jpg" TargetMode="External"/><Relationship Id="rId46" Type="http://schemas.openxmlformats.org/officeDocument/2006/relationships/image" Target="Zalacznik2152E05E-79FC-4BE8-8A6A-BE8AF6AF13CB.jpg" TargetMode="External"/><Relationship Id="rId59" Type="http://schemas.openxmlformats.org/officeDocument/2006/relationships/image" Target="Zalacznik5C77E87C-35EF-42F1-9720-184F538208D6.jpg" TargetMode="External"/><Relationship Id="rId67" Type="http://schemas.openxmlformats.org/officeDocument/2006/relationships/image" Target="Zalacznik91B59409-2B2D-4019-AB73-C9AA4D58B9AA.emf" TargetMode="External"/><Relationship Id="rId20" Type="http://schemas.openxmlformats.org/officeDocument/2006/relationships/image" Target="Zalacznik62707A8E-8D29-44BE-97F5-5C2E2AFC482C.emf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footer" Target="footer2.xml"/><Relationship Id="rId75" Type="http://schemas.openxmlformats.org/officeDocument/2006/relationships/image" Target="Zalacznik952AA755-EEF7-4154-AF2E-17028526A51D.emf" TargetMode="External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ZalacznikD6C88AF3-5A9B-4A46-8649-04AECEA9216A.emf" TargetMode="External"/><Relationship Id="rId36" Type="http://schemas.openxmlformats.org/officeDocument/2006/relationships/image" Target="ZalacznikD82F6887-7877-4E54-B37D-3204FD1F6E5E.jpg" TargetMode="External"/><Relationship Id="rId49" Type="http://schemas.openxmlformats.org/officeDocument/2006/relationships/image" Target="media/image22.png"/><Relationship Id="rId57" Type="http://schemas.openxmlformats.org/officeDocument/2006/relationships/image" Target="ZalacznikE956F9D4-7720-40D9-A2C5-F515B45F3D47.jpg" TargetMode="External"/><Relationship Id="rId10" Type="http://schemas.openxmlformats.org/officeDocument/2006/relationships/image" Target="ZalacznikF11CAA21-8EDA-4CDB-94C7-877BAC5732DA.png" TargetMode="External"/><Relationship Id="rId31" Type="http://schemas.openxmlformats.org/officeDocument/2006/relationships/image" Target="media/image13.png"/><Relationship Id="rId44" Type="http://schemas.openxmlformats.org/officeDocument/2006/relationships/image" Target="Zalacznik9A9E72B3-946A-4D4E-8C87-E510C9B51185.jpg" TargetMode="External"/><Relationship Id="rId52" Type="http://schemas.openxmlformats.org/officeDocument/2006/relationships/image" Target="ZalacznikDBF42379-7F8F-412A-9107-B24A5F67280D.jpg" TargetMode="External"/><Relationship Id="rId60" Type="http://schemas.openxmlformats.org/officeDocument/2006/relationships/image" Target="media/image27.png"/><Relationship Id="rId65" Type="http://schemas.openxmlformats.org/officeDocument/2006/relationships/image" Target="ZalacznikB204BA76-AE58-495E-8A8B-E2948D2525F6.jpg" TargetMode="External"/><Relationship Id="rId73" Type="http://schemas.openxmlformats.org/officeDocument/2006/relationships/image" Target="Zalacznik7B452CC3-7D2A-49F5-B344-190301F68C02.emf" TargetMode="External"/><Relationship Id="rId78" Type="http://schemas.openxmlformats.org/officeDocument/2006/relationships/image" Target="media/image35.png"/><Relationship Id="rId81" Type="http://schemas.openxmlformats.org/officeDocument/2006/relationships/image" Target="Zalacznik3B86764A-8C62-408F-9C71-C8B510A038C6.png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Zalacznik3D54D69F-2E32-434F-92FA-C4B2DE72CA22.emf" TargetMode="External"/><Relationship Id="rId39" Type="http://schemas.openxmlformats.org/officeDocument/2006/relationships/image" Target="media/image17.png"/><Relationship Id="rId34" Type="http://schemas.openxmlformats.org/officeDocument/2006/relationships/image" Target="Zalacznik51CEB231-29E6-4E39-885B-E4D1711E14F2.jpg" TargetMode="External"/><Relationship Id="rId50" Type="http://schemas.openxmlformats.org/officeDocument/2006/relationships/image" Target="Zalacznik340242F7-B774-404D-A3F8-451E1BB19001.jpg" TargetMode="External"/><Relationship Id="rId55" Type="http://schemas.openxmlformats.org/officeDocument/2006/relationships/image" Target="Zalacznik80223810-F934-4CAB-88D1-859CD531DDD7.jpg" TargetMode="External"/><Relationship Id="rId76" Type="http://schemas.openxmlformats.org/officeDocument/2006/relationships/image" Target="media/image34.png"/><Relationship Id="rId7" Type="http://schemas.openxmlformats.org/officeDocument/2006/relationships/image" Target="media/image1.png"/><Relationship Id="rId71" Type="http://schemas.openxmlformats.org/officeDocument/2006/relationships/footer" Target="footer3.xml"/><Relationship Id="rId2" Type="http://schemas.openxmlformats.org/officeDocument/2006/relationships/settings" Target="settings.xml"/><Relationship Id="rId29" Type="http://schemas.openxmlformats.org/officeDocument/2006/relationships/image" Target="media/image12.png"/><Relationship Id="rId24" Type="http://schemas.openxmlformats.org/officeDocument/2006/relationships/image" Target="Zalacznik6B405E8E-1A59-456B-88CB-5B8825A7B319.emf" TargetMode="External"/><Relationship Id="rId40" Type="http://schemas.openxmlformats.org/officeDocument/2006/relationships/image" Target="Zalacznik7C2FED0E-BFAA-46BD-BF5F-3CDB1D12F04B.jpg" TargetMode="External"/><Relationship Id="rId45" Type="http://schemas.openxmlformats.org/officeDocument/2006/relationships/image" Target="media/image20.png"/><Relationship Id="rId66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115</Pages>
  <Words>38441</Words>
  <Characters>230652</Characters>
  <Application>Microsoft Office Word</Application>
  <DocSecurity>0</DocSecurity>
  <Lines>1922</Lines>
  <Paragraphs>537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Uchwała Nr IV/62/24 z dnia 27 czerwca 2024 r.</vt:lpstr>
      <vt:lpstr/>
    </vt:vector>
  </TitlesOfParts>
  <Company>Rada Miasta Piotrkowa Trybunalskiego</Company>
  <LinksUpToDate>false</LinksUpToDate>
  <CharactersWithSpaces>268556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 Nr IV/62/24 z dnia 27 czerwca 2024 r.</dc:title>
  <dc:subject>w sprawie zmiany uchwały w^sprawie przyjęcia Gminnego Programu Rewitalizacji dla Miasta Piotrków Trybunalski na lata 2024-2030</dc:subject>
  <dc:creator>Seredynska_I</dc:creator>
  <cp:lastModifiedBy>Seredyńska Ilona</cp:lastModifiedBy>
  <cp:revision>2</cp:revision>
  <dcterms:created xsi:type="dcterms:W3CDTF">2024-07-04T11:52:00Z</dcterms:created>
  <dcterms:modified xsi:type="dcterms:W3CDTF">2024-07-04T11:52:00Z</dcterms:modified>
  <cp:category>Akt prawny</cp:category>
</cp:coreProperties>
</file>