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76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IV/53/24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Miasta Piotrkowa Trybunalskiego</w:t>
      </w:r>
    </w:p>
    <w:p w:rsidR="00A77B3E">
      <w:pPr>
        <w:spacing w:before="280" w:after="280" w:line="276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27 czerwca 2024 r.</w:t>
      </w:r>
    </w:p>
    <w:p w:rsidR="00A77B3E">
      <w:pPr>
        <w:keepNext/>
        <w:spacing w:before="0" w:after="480" w:line="276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zmiany Uchwały Nr LXXIII/889/24 Rady Miasta Piotrkowa Trybunalskiego z dnia 28 lutego  2024 roku w sprawie określenia zadań i podziału środków Państwowego Funduszu Rehabilitacji Osób Niepełnosprawnych z zakresu rehabilitacji zawodowej i społecznej osób niepełnosprawnych na 2024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 35a ust. 3 ustawy z dnia 27 sierpnia 1997 r. o rehabilitacji zawodowej i społecznej oraz zatrudnianiu osób niepełnosprawnych (tj. Dz. U. z 2024 r. poz. 44) oraz art. 12 pkt 11, art. 92 ust. 1 pkt 1 ustawy z dnia 5 czerwca 1998 r. o samorządzie powiatowym (tj. Dz. U. z 2024 r. poz. 107) Rada Miasta Piotrkowa Trybunalskiego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Zmienia się Uchwałę Nr LXXIII/889/24 Rady Miasta Piotrkowa Trybunalskiego z dnia 28 lutego 2024 roku w sprawie określenia zadań i podziału środków Państwowego Funduszu Rehabilitacji Osób Niepełnosprawnych z zakresu rehabilitacji zawodowej i społecznej osób niepełnosprawnych na 2024 rok w ten sposób, iż nowy podział środków PFRON określa załącznik do niniejszej uchwały.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Uchwała wchodzi w życie z 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Miasta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Mariusz Staszek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>
      <w:pPr>
        <w:spacing w:before="120" w:after="120" w:line="360" w:lineRule="auto"/>
        <w:ind w:left="5552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do uchwały Nr IV/53/24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Miasta Piotrkowa Trybunalskiego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Powiat Piotrków Trybunalski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OKREŚLENIE ZADAŃ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PODZIAŁ ŚRODKÓW PAŃSTWOWEGO FUNDUSZU REHABILITACJI OSÓB NIEPEŁNOSPRAWNYCH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ZAKRESU REHABILITACJI ZAWODOWEJ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SPOŁECZNEJ OSÓB NIEPEŁNOSPRAWNYCH NA 2024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090"/>
        <w:gridCol w:w="1374"/>
        <w:gridCol w:w="1374"/>
        <w:gridCol w:w="124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7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  <w:p>
            <w:pPr>
              <w:jc w:val="center"/>
            </w:pPr>
            <w:r>
              <w:rPr>
                <w:b/>
              </w:rPr>
              <w:t>Wyszczególnienie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Dotych-czasowy</w:t>
            </w:r>
          </w:p>
          <w:p>
            <w:pPr>
              <w:jc w:val="center"/>
            </w:pPr>
            <w:r>
              <w:rPr>
                <w:b/>
              </w:rPr>
              <w:t>plan</w:t>
            </w:r>
          </w:p>
          <w:p>
            <w:pPr>
              <w:jc w:val="center"/>
            </w:pPr>
            <w:r>
              <w:rPr>
                <w:b/>
              </w:rPr>
              <w:t>na 2024 rok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  <w:p>
            <w:pPr>
              <w:jc w:val="center"/>
            </w:pPr>
            <w:r>
              <w:rPr>
                <w:b/>
              </w:rPr>
              <w:t>Propozycja zmian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Plan na 2024 rok 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7"/>
        </w:trPr>
        <w:tc>
          <w:tcPr>
            <w:tcW w:w="63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3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  <w:p>
            <w:pPr>
              <w:jc w:val="center"/>
            </w:pPr>
            <w:r>
              <w:rPr>
                <w:b/>
              </w:rPr>
              <w:t>R E H A B I L I T A C J A    Z A W O D O W A</w:t>
            </w:r>
          </w:p>
        </w:tc>
        <w:tc>
          <w:tcPr>
            <w:tcW w:w="41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Zwrot kosztów poniesionych przez pracodawcę w związku                              z wyposażeniem stanowisk pracy dla osób niepełnosprawnych  (art. 26e)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  <w:p>
            <w:pPr>
              <w:jc w:val="right"/>
            </w:pPr>
            <w:r>
              <w:t>70.000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  <w:p>
            <w:pPr>
              <w:jc w:val="right"/>
            </w:pPr>
            <w:r>
              <w:t>- 35.000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  <w:p>
            <w:pPr>
              <w:jc w:val="right"/>
            </w:pPr>
            <w:r>
              <w:t>35.000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Przyznawanie osobom niepełnosprawnym jednorazowych środków na podjęcie działalności gospodarczej, rolniczej lub na podjęcie działalności w formie spółdzielni  socjalnej (art. 12a)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  <w:p>
            <w:pPr>
              <w:jc w:val="right"/>
            </w:pPr>
            <w:r>
              <w:t>60.000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  <w:p>
            <w:pPr>
              <w:jc w:val="right"/>
            </w:pPr>
            <w:r>
              <w:t>+ 30.000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  <w:p>
            <w:pPr>
              <w:jc w:val="right"/>
            </w:pPr>
            <w:r>
              <w:t>90.000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 xml:space="preserve">Zwrot wydatków na instrumenty i usługi rynku pracy dla osób niepełnosprawnych poszukujących pracy niepozostających 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 xml:space="preserve">w zatrudnieniu (art. 11 ust. 2 pkt 2) </w:t>
            </w:r>
          </w:p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– staże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right"/>
            </w:pPr>
            <w:r>
              <w:t>237.000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right"/>
            </w:pPr>
            <w:r>
              <w:t>+ 5.000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right"/>
            </w:pPr>
            <w:r>
              <w:t>242.000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3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 xml:space="preserve">Zwrot wydatków na instrumenty i usługi rynku pracy dla osób niepełnosprawnych poszukujących pracy niepozostających  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 xml:space="preserve">w zatrudnieniu (art. 11 ust. 2 pkt 1) </w:t>
            </w:r>
          </w:p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- szkolenia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right"/>
            </w:pPr>
            <w:r>
              <w:t>50.000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right"/>
            </w:pPr>
            <w:r>
              <w:t>50.000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left"/>
            </w:pPr>
            <w:r>
              <w:rPr>
                <w:b/>
              </w:rPr>
              <w:t>RAZEM REHABILITACJA ZAWODOWA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right"/>
            </w:pPr>
            <w:r>
              <w:rPr>
                <w:b/>
              </w:rPr>
              <w:t>417.000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right"/>
            </w:pPr>
            <w:r>
              <w:rPr>
                <w:b/>
              </w:rPr>
              <w:t>417.000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center"/>
            </w:pPr>
            <w:r>
              <w:rPr>
                <w:b/>
              </w:rPr>
              <w:t>R E H A B I L I T A C J A   S P O Ł E C Z N A</w:t>
            </w:r>
          </w:p>
        </w:tc>
        <w:tc>
          <w:tcPr>
            <w:tcW w:w="1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left"/>
            </w:pPr>
            <w:r>
              <w:rPr>
                <w:b/>
              </w:rPr>
              <w:t>Dofinansowanie turnusów rehabilitacyjnych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right"/>
            </w:pPr>
            <w:r>
              <w:t>1.239.274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right"/>
            </w:pPr>
            <w:r>
              <w:t>1.239.274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both"/>
            </w:pPr>
            <w:r>
              <w:rPr>
                <w:b/>
              </w:rPr>
              <w:t>Dofinansowanie kosztów działania warsztatów terapii zajęciowej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right"/>
            </w:pPr>
            <w:r>
              <w:t>3.369.600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right"/>
            </w:pPr>
            <w:r>
              <w:t>3.369.600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left"/>
            </w:pPr>
            <w:r>
              <w:rPr>
                <w:b/>
              </w:rPr>
              <w:t>Dofinansowanie sportu, kultury, rekreacji i turystyki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right"/>
            </w:pPr>
            <w:r>
              <w:t>184.341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right"/>
            </w:pPr>
            <w:r>
              <w:t>184.341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40"/>
        </w:trPr>
        <w:tc>
          <w:tcPr>
            <w:tcW w:w="6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left"/>
            </w:pPr>
            <w:r>
              <w:rPr>
                <w:b/>
              </w:rPr>
              <w:t>Dofinansowanie zaopatrzenia w sprzęt rehabilitacyjny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right"/>
            </w:pPr>
            <w:r>
              <w:t>12.800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right"/>
            </w:pPr>
            <w:r>
              <w:t>12.800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Dofinansowanie zaopatrzenia w sprzęt rehabilitacyjny dla osób fizycznych prowadzących działalność gospodarczą, osób prawnych  i jednostek organizacyjnych nieposiadających osobowości prawnej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right"/>
            </w:pPr>
            <w:r>
              <w:t>67.022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right"/>
            </w:pPr>
            <w:r>
              <w:t>67.022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left"/>
            </w:pPr>
            <w:r>
              <w:rPr>
                <w:b/>
              </w:rPr>
              <w:t>Dofinansowanie zaopatrzenia w przedmioty ortopedyczne                                                   i środki pomocnicze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right"/>
            </w:pPr>
            <w:r>
              <w:t>1.027.366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/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left"/>
            </w:pPr>
            <w:r>
              <w:t>1.027.366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left"/>
            </w:pPr>
            <w:r>
              <w:rPr>
                <w:b/>
              </w:rPr>
              <w:t>Dofinansowanie likwidacji barier architektonicznych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right"/>
            </w:pPr>
            <w:r>
              <w:t>169.165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right"/>
            </w:pPr>
            <w:r>
              <w:t>- 13.300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right"/>
            </w:pPr>
            <w:r>
              <w:t>155.865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left"/>
            </w:pPr>
            <w:r>
              <w:rPr>
                <w:b/>
              </w:rPr>
              <w:t xml:space="preserve">Dofinansowanie likwidacji barier technicznych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right"/>
            </w:pPr>
            <w:r>
              <w:t>93.539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right"/>
            </w:pPr>
            <w:r>
              <w:t>+ 13.300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right"/>
            </w:pPr>
            <w:r>
              <w:t>106.839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left"/>
            </w:pPr>
            <w:r>
              <w:rPr>
                <w:b/>
              </w:rPr>
              <w:t>Dofinansowanie likwidacji barier w komunikowaniu się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right"/>
            </w:pPr>
            <w:r>
              <w:t>17.033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right"/>
            </w:pPr>
            <w:r>
              <w:t>17.033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left"/>
            </w:pPr>
            <w:r>
              <w:rPr>
                <w:b/>
              </w:rPr>
              <w:t>Dofinansowanie usług tłumacza języka migowego lub tłumacza-przewodnika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right"/>
            </w:pPr>
            <w:r>
              <w:t>5.760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right"/>
            </w:pPr>
            <w:r>
              <w:t>5.760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left"/>
            </w:pPr>
            <w:r>
              <w:rPr>
                <w:b/>
              </w:rPr>
              <w:t>RAZEM REHABILITACJA SPOŁECZNA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right"/>
            </w:pPr>
            <w:r>
              <w:rPr>
                <w:b/>
              </w:rPr>
              <w:t>6.185.900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right"/>
            </w:pPr>
            <w:r>
              <w:rPr>
                <w:b/>
              </w:rPr>
              <w:t>6.185.900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left"/>
            </w:pPr>
            <w:r>
              <w:rPr>
                <w:b/>
              </w:rPr>
              <w:t xml:space="preserve">OGÓŁEM REHABILITACJA ZAWODOWA </w:t>
            </w:r>
          </w:p>
          <w:p>
            <w:pPr>
              <w:jc w:val="left"/>
            </w:pPr>
            <w:r>
              <w:rPr>
                <w:b/>
              </w:rPr>
              <w:t>I SPOŁECZNA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right"/>
            </w:pPr>
            <w:r>
              <w:rPr>
                <w:b/>
              </w:rPr>
              <w:t>6.602.900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right"/>
            </w:pPr>
            <w:r>
              <w:rPr>
                <w:b/>
              </w:rPr>
              <w:t>6.602.900</w:t>
            </w:r>
          </w:p>
        </w:tc>
      </w:tr>
    </w:tbl>
    <w:p w:rsidR="00A77B3E">
      <w:pPr>
        <w:keepNext/>
        <w:keepLines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ab/>
      </w:r>
    </w:p>
    <w:p w:rsidR="00A77B3E">
      <w:pPr>
        <w:keepNext/>
        <w:keepLines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Miasta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Mariusz Staszek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sectPr>
      <w:footerReference w:type="default" r:id="rId5"/>
      <w:endnotePr>
        <w:numFmt w:val="decimal"/>
      </w:endnotePr>
      <w:type w:val="nextPage"/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C0814CBD-C7AE-4FD5-9F66-9855402983AB.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C0814CBD-C7AE-4FD5-9F66-9855402983AB.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Piotrkowa Trybunalskiego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IV/53/24 z dnia 27 czerwca 2024 r.</dc:title>
  <dc:subject>w sprawie zmiany Uchwały Nr LXXIII/889/24 Rady Miasta Piotrkowa Trybunalskiego z^dnia 28^lutego  2024^roku w^sprawie określenia zadań i^podziału środków Państwowego Funduszu Rehabilitacji Osób Niepełnosprawnych z^zakresu rehabilitacji zawodowej i^społecznej osób niepełnosprawnych na 2024^rok</dc:subject>
  <dc:creator>chmielewska_k</dc:creator>
  <cp:lastModifiedBy>chmielewska_k</cp:lastModifiedBy>
  <cp:revision>1</cp:revision>
  <dcterms:created xsi:type="dcterms:W3CDTF">2024-07-08T14:39:42Z</dcterms:created>
  <dcterms:modified xsi:type="dcterms:W3CDTF">2024-07-08T14:39:42Z</dcterms:modified>
  <cp:category>Akt prawny</cp:category>
</cp:coreProperties>
</file>