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1DEB" w14:textId="77777777" w:rsidR="00E32E20" w:rsidRPr="00E32E20" w:rsidRDefault="0076623B" w:rsidP="00E32E20">
      <w:pPr>
        <w:spacing w:after="0" w:line="360" w:lineRule="auto"/>
        <w:ind w:lef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bookmarkStart w:id="0" w:name="_GoBack"/>
      <w:bookmarkEnd w:id="0"/>
      <w:r w:rsidRPr="00E32E20">
        <w:rPr>
          <w:rFonts w:ascii="Arial" w:hAnsi="Arial" w:cs="Arial"/>
          <w:szCs w:val="24"/>
        </w:rPr>
        <w:t xml:space="preserve">Załącznik Nr 3  </w:t>
      </w:r>
      <w:r w:rsidR="00E32E20" w:rsidRPr="00E32E20">
        <w:rPr>
          <w:rFonts w:ascii="Arial" w:hAnsi="Arial" w:cs="Arial"/>
          <w:color w:val="auto"/>
          <w:kern w:val="0"/>
          <w:szCs w:val="24"/>
          <w14:ligatures w14:val="none"/>
        </w:rPr>
        <w:t>do Uchwały Nr LXXII/884/24</w:t>
      </w:r>
    </w:p>
    <w:p w14:paraId="4CC8BFE3" w14:textId="21A8F297" w:rsidR="00E32E20" w:rsidRPr="00E32E20" w:rsidRDefault="00E32E20" w:rsidP="00E32E20">
      <w:pPr>
        <w:spacing w:after="0" w:line="360" w:lineRule="auto"/>
        <w:ind w:lef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32E20">
        <w:rPr>
          <w:rFonts w:ascii="Arial" w:hAnsi="Arial" w:cs="Arial"/>
          <w:color w:val="auto"/>
          <w:kern w:val="0"/>
          <w:szCs w:val="24"/>
          <w14:ligatures w14:val="none"/>
        </w:rPr>
        <w:t xml:space="preserve">Rady Miasta Piotrkowa Trybunalskiego z dnia 24 stycznia 2024 r. </w:t>
      </w:r>
    </w:p>
    <w:p w14:paraId="593A414B" w14:textId="77777777" w:rsidR="00E32E20" w:rsidRDefault="00E32E20" w:rsidP="00E32E20">
      <w:pPr>
        <w:spacing w:line="360" w:lineRule="auto"/>
        <w:ind w:left="0" w:right="175" w:firstLine="0"/>
        <w:rPr>
          <w:rFonts w:ascii="Arial" w:hAnsi="Arial" w:cs="Arial"/>
          <w:szCs w:val="24"/>
        </w:rPr>
      </w:pPr>
    </w:p>
    <w:p w14:paraId="147BAA1E" w14:textId="5C9EF56D" w:rsidR="00654B6C" w:rsidRPr="00E32E20" w:rsidRDefault="0076623B" w:rsidP="00E32E20">
      <w:pPr>
        <w:spacing w:line="360" w:lineRule="auto"/>
        <w:ind w:left="0" w:right="175" w:firstLine="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Plan Pracy Komisji Oświaty i Nauki Rady Miasta Piotrkowa Trybunalskiego na  I półrocze 2024 roku </w:t>
      </w:r>
    </w:p>
    <w:p w14:paraId="6739F652" w14:textId="77777777" w:rsidR="00654B6C" w:rsidRPr="00E32E20" w:rsidRDefault="0076623B" w:rsidP="00E32E20">
      <w:pPr>
        <w:spacing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Styczeń </w:t>
      </w:r>
    </w:p>
    <w:p w14:paraId="35AB952F" w14:textId="77777777" w:rsidR="00654B6C" w:rsidRPr="00E32E20" w:rsidRDefault="0076623B" w:rsidP="00E32E20">
      <w:pPr>
        <w:spacing w:after="115" w:line="360" w:lineRule="auto"/>
        <w:ind w:left="355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>1.</w:t>
      </w:r>
      <w:r w:rsidRPr="00E32E20">
        <w:rPr>
          <w:rFonts w:ascii="Arial" w:eastAsia="Arial" w:hAnsi="Arial" w:cs="Arial"/>
          <w:szCs w:val="24"/>
        </w:rPr>
        <w:t xml:space="preserve"> </w:t>
      </w:r>
      <w:r w:rsidRPr="00E32E20">
        <w:rPr>
          <w:rFonts w:ascii="Arial" w:hAnsi="Arial" w:cs="Arial"/>
          <w:szCs w:val="24"/>
        </w:rPr>
        <w:t xml:space="preserve">Dofinansowanie kosztów kształcenia młodocianych pracowników w 2023 r. </w:t>
      </w:r>
    </w:p>
    <w:p w14:paraId="12870D69" w14:textId="77777777" w:rsidR="00654B6C" w:rsidRPr="00E32E20" w:rsidRDefault="0076623B" w:rsidP="00E32E20">
      <w:pPr>
        <w:spacing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Luty </w:t>
      </w:r>
    </w:p>
    <w:p w14:paraId="621A26BF" w14:textId="77777777" w:rsidR="00654B6C" w:rsidRPr="00E32E20" w:rsidRDefault="0076623B" w:rsidP="00E32E20">
      <w:pPr>
        <w:spacing w:after="115" w:line="360" w:lineRule="auto"/>
        <w:ind w:left="355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>1.</w:t>
      </w:r>
      <w:r w:rsidRPr="00E32E20">
        <w:rPr>
          <w:rFonts w:ascii="Arial" w:eastAsia="Arial" w:hAnsi="Arial" w:cs="Arial"/>
          <w:szCs w:val="24"/>
        </w:rPr>
        <w:t xml:space="preserve"> </w:t>
      </w:r>
      <w:r w:rsidRPr="00E32E20">
        <w:rPr>
          <w:rFonts w:ascii="Arial" w:hAnsi="Arial" w:cs="Arial"/>
          <w:szCs w:val="24"/>
        </w:rPr>
        <w:t xml:space="preserve">Informacja o wysokości średnich wynagrodzeń nauczycieli w 2023 roku  </w:t>
      </w:r>
    </w:p>
    <w:p w14:paraId="204D50AB" w14:textId="77777777" w:rsidR="00654B6C" w:rsidRPr="00E32E20" w:rsidRDefault="0076623B" w:rsidP="00E32E20">
      <w:pPr>
        <w:spacing w:after="0" w:line="360" w:lineRule="auto"/>
        <w:ind w:left="73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na poszczególnych stopniach awansu zawodowego w szkołach i placówkach, których organem prowadzącym jest Miasto Piotrków Trybunalski. </w:t>
      </w:r>
    </w:p>
    <w:p w14:paraId="511C7D72" w14:textId="77777777" w:rsidR="00654B6C" w:rsidRPr="00E32E20" w:rsidRDefault="0076623B" w:rsidP="00E32E20">
      <w:pPr>
        <w:spacing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Marzec </w:t>
      </w:r>
    </w:p>
    <w:p w14:paraId="4D0569A3" w14:textId="77777777" w:rsidR="00654B6C" w:rsidRPr="00E32E20" w:rsidRDefault="0076623B" w:rsidP="00E32E20">
      <w:pPr>
        <w:spacing w:after="158" w:line="360" w:lineRule="auto"/>
        <w:ind w:left="720" w:right="233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>1.</w:t>
      </w:r>
      <w:r w:rsidRPr="00E32E20">
        <w:rPr>
          <w:rFonts w:ascii="Arial" w:eastAsia="Arial" w:hAnsi="Arial" w:cs="Arial"/>
          <w:szCs w:val="24"/>
        </w:rPr>
        <w:t xml:space="preserve"> </w:t>
      </w:r>
      <w:r w:rsidRPr="00E32E20">
        <w:rPr>
          <w:rFonts w:ascii="Arial" w:hAnsi="Arial" w:cs="Arial"/>
          <w:szCs w:val="24"/>
        </w:rPr>
        <w:t xml:space="preserve">Informacja dotycząca realizowanych przez piotrkowskie szkoły projektów unijnych, programów ekologicznych dofinansowanych przez WFOŚiGW w Łodzi oraz programów rządowych związanych z doposażeniem szkół/placówek. </w:t>
      </w:r>
    </w:p>
    <w:p w14:paraId="63B26948" w14:textId="77777777" w:rsidR="00654B6C" w:rsidRPr="00E32E20" w:rsidRDefault="0076623B" w:rsidP="00E32E20">
      <w:pPr>
        <w:spacing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Kwiecień </w:t>
      </w:r>
    </w:p>
    <w:p w14:paraId="4E7DCB8B" w14:textId="77777777" w:rsidR="00654B6C" w:rsidRPr="00E32E20" w:rsidRDefault="0076623B" w:rsidP="00E32E20">
      <w:pPr>
        <w:numPr>
          <w:ilvl w:val="0"/>
          <w:numId w:val="1"/>
        </w:numPr>
        <w:spacing w:after="51"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Informacja dotycząca naliczeń subwencji oświatowej na 2024 rok dla Piotrkowa Trybunalskiego. </w:t>
      </w:r>
    </w:p>
    <w:p w14:paraId="4AF66BE9" w14:textId="77777777" w:rsidR="00654B6C" w:rsidRPr="00E32E20" w:rsidRDefault="0076623B" w:rsidP="00E32E20">
      <w:pPr>
        <w:numPr>
          <w:ilvl w:val="0"/>
          <w:numId w:val="1"/>
        </w:numPr>
        <w:spacing w:after="0"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Sprawozdanie z realizacji uchwał Rady Miasta Piotrkowa Trybunalskiego podjętych  w 2023 roku oraz z uchwał z poprzednich okresów sprawozdawczych podjętych w 2003-2022", </w:t>
      </w:r>
    </w:p>
    <w:p w14:paraId="6A96B05E" w14:textId="77777777" w:rsidR="00654B6C" w:rsidRPr="00E32E20" w:rsidRDefault="0076623B" w:rsidP="00E32E20">
      <w:pPr>
        <w:spacing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Maj </w:t>
      </w:r>
    </w:p>
    <w:p w14:paraId="31F9077A" w14:textId="77777777" w:rsidR="00654B6C" w:rsidRPr="00E32E20" w:rsidRDefault="0076623B" w:rsidP="00E32E20">
      <w:pPr>
        <w:numPr>
          <w:ilvl w:val="0"/>
          <w:numId w:val="2"/>
        </w:numPr>
        <w:spacing w:after="17"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Sprawozdanie o kształtowaniu się Wieloletniej Prognozy Finansowej Miasta Piotrkowa Trybunalskiego za 2023 rok. </w:t>
      </w:r>
    </w:p>
    <w:p w14:paraId="39A09A6E" w14:textId="77777777" w:rsidR="00654B6C" w:rsidRPr="00E32E20" w:rsidRDefault="0076623B" w:rsidP="00E32E20">
      <w:pPr>
        <w:numPr>
          <w:ilvl w:val="0"/>
          <w:numId w:val="2"/>
        </w:numPr>
        <w:spacing w:after="113"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Sprawozdanie z wykonania budżetu miasta Piotrkowa Trybunalskiego za 2023 rok. </w:t>
      </w:r>
    </w:p>
    <w:p w14:paraId="7EBD8A85" w14:textId="77777777" w:rsidR="00E32E20" w:rsidRDefault="00E32E20" w:rsidP="00E32E20">
      <w:pPr>
        <w:spacing w:after="118" w:line="360" w:lineRule="auto"/>
        <w:ind w:left="10" w:right="175"/>
        <w:rPr>
          <w:rFonts w:ascii="Arial" w:hAnsi="Arial" w:cs="Arial"/>
          <w:szCs w:val="24"/>
        </w:rPr>
      </w:pPr>
    </w:p>
    <w:p w14:paraId="43439770" w14:textId="77777777" w:rsidR="00E32E20" w:rsidRDefault="00E32E20" w:rsidP="00E32E20">
      <w:pPr>
        <w:spacing w:after="118" w:line="360" w:lineRule="auto"/>
        <w:ind w:left="10" w:right="175"/>
        <w:rPr>
          <w:rFonts w:ascii="Arial" w:hAnsi="Arial" w:cs="Arial"/>
          <w:szCs w:val="24"/>
        </w:rPr>
      </w:pPr>
    </w:p>
    <w:p w14:paraId="61512FE5" w14:textId="48781ED4" w:rsidR="00654B6C" w:rsidRPr="00E32E20" w:rsidRDefault="0076623B" w:rsidP="00E32E20">
      <w:pPr>
        <w:spacing w:after="118" w:line="360" w:lineRule="auto"/>
        <w:ind w:left="10" w:right="175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lastRenderedPageBreak/>
        <w:t xml:space="preserve">Czerwiec </w:t>
      </w:r>
    </w:p>
    <w:p w14:paraId="02A75E67" w14:textId="77777777" w:rsidR="00654B6C" w:rsidRPr="00E32E20" w:rsidRDefault="0076623B" w:rsidP="00E32E20">
      <w:pPr>
        <w:numPr>
          <w:ilvl w:val="0"/>
          <w:numId w:val="3"/>
        </w:numPr>
        <w:spacing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Rozpatrzenie Raportu o stanie miasta za 2023. </w:t>
      </w:r>
    </w:p>
    <w:p w14:paraId="69DD52B5" w14:textId="77777777" w:rsidR="00654B6C" w:rsidRPr="00E32E20" w:rsidRDefault="0076623B" w:rsidP="00E32E20">
      <w:pPr>
        <w:numPr>
          <w:ilvl w:val="0"/>
          <w:numId w:val="3"/>
        </w:numPr>
        <w:spacing w:line="360" w:lineRule="auto"/>
        <w:ind w:right="175" w:hanging="36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Opracowanie planu pracy Komisji na II półrocze 2024 r. </w:t>
      </w:r>
    </w:p>
    <w:p w14:paraId="3AEE99EC" w14:textId="77777777" w:rsidR="00E32E20" w:rsidRDefault="00E32E20" w:rsidP="00E32E20">
      <w:pPr>
        <w:spacing w:line="360" w:lineRule="auto"/>
        <w:ind w:left="0" w:right="175" w:firstLine="0"/>
        <w:rPr>
          <w:rFonts w:ascii="Arial" w:hAnsi="Arial" w:cs="Arial"/>
          <w:szCs w:val="24"/>
        </w:rPr>
      </w:pPr>
    </w:p>
    <w:p w14:paraId="6ABAD9EC" w14:textId="02FCE51F" w:rsidR="00654B6C" w:rsidRPr="00E32E20" w:rsidRDefault="0076623B" w:rsidP="00E32E20">
      <w:pPr>
        <w:spacing w:line="360" w:lineRule="auto"/>
        <w:ind w:left="0" w:right="175" w:firstLine="0"/>
        <w:rPr>
          <w:rFonts w:ascii="Arial" w:hAnsi="Arial" w:cs="Arial"/>
          <w:szCs w:val="24"/>
        </w:rPr>
      </w:pPr>
      <w:r w:rsidRPr="00E32E20">
        <w:rPr>
          <w:rFonts w:ascii="Arial" w:hAnsi="Arial" w:cs="Arial"/>
          <w:szCs w:val="24"/>
        </w:rPr>
        <w:t xml:space="preserve">Na bieżąco sprawy wynikające z zakresu działalności Komisji. </w:t>
      </w:r>
    </w:p>
    <w:sectPr w:rsidR="00654B6C" w:rsidRPr="00E32E20">
      <w:pgSz w:w="11906" w:h="16838"/>
      <w:pgMar w:top="1440" w:right="118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62B"/>
    <w:multiLevelType w:val="hybridMultilevel"/>
    <w:tmpl w:val="923C9E7E"/>
    <w:lvl w:ilvl="0" w:tplc="BDDE812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2A7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E5B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E3A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033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885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E8C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A50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E5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B565D"/>
    <w:multiLevelType w:val="hybridMultilevel"/>
    <w:tmpl w:val="07745FEE"/>
    <w:lvl w:ilvl="0" w:tplc="C4C66D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497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E1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697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6A2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20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E85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FA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ABD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26688"/>
    <w:multiLevelType w:val="hybridMultilevel"/>
    <w:tmpl w:val="68C02BB2"/>
    <w:lvl w:ilvl="0" w:tplc="B16877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E78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2B8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4EB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6A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2F7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AF5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652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6C6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6C"/>
    <w:rsid w:val="001A1B11"/>
    <w:rsid w:val="00654B6C"/>
    <w:rsid w:val="0076623B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266D"/>
  <w15:docId w15:val="{DD6A9489-1D44-4573-A7A3-594A75A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/>
      <w:ind w:left="43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cp:lastModifiedBy>Budkowska Paulina</cp:lastModifiedBy>
  <cp:revision>2</cp:revision>
  <dcterms:created xsi:type="dcterms:W3CDTF">2024-01-25T12:07:00Z</dcterms:created>
  <dcterms:modified xsi:type="dcterms:W3CDTF">2024-01-25T12:07:00Z</dcterms:modified>
</cp:coreProperties>
</file>