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LXVIII/841/23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ustalenia strefy płatnego parkowania na terenie miasta Piotrkowa Trybunalskiego, określenia wysokości stawek i sposobu ich pobierania.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zmiany: poz.572, poz.1463, poz.1688); art.13 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13f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645, zmiany: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760,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 Rada Miasta Piotrkowa Trybunalskiego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X/160/19 Rady Miasta Piotrkowa Trybunalskiego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ustalenia strefy płatnego parkowania na terenie miasta Piotrkowa Trybunalskiego, określenia wysokości stawek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sposobu ich pobierania, zmienionej Uchwałami Rady Miasta Piotrkowa Trybunalskiego Nr: XXIV/350/20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roku; XXXIII/451/21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roku; XLVII/596/22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LXI/760/23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dodaje się ppkt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brzmieniu:</w:t>
      </w:r>
    </w:p>
    <w:p w:rsidR="00A77B3E">
      <w:pPr>
        <w:keepNext w:val="0"/>
        <w:keepLines w:val="0"/>
        <w:spacing w:before="120" w:after="120" w:line="240" w:lineRule="auto"/>
        <w:ind w:left="79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Al. Armii Krajowej (od ul. Słowackiego do ul. Szkolnej) po stronie wschodniej”.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Identyfikator postojowy osoby niepełnosprawnej upoważnia do bezpłatnego, zgodnego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przepisami ustawy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ruchu drogowym, postoju na obszarze całej Strefy Płatnego Parkowania, przez pierwsze 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minut od chwili zajęcia miejsca postojowego, co potwierdza się odpowiednim ustawieniem zegara stanowiącego element identyfikatora postojowego osoby niepełnosprawnej. Po upływie 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minut należy odjechać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zajmowanego miejsca postojowego lub uiścić opłatę za dalsze parkowanie. Nie jest dopuszczalne przestawienie zegara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dalsze bezpłatne parkowanie. Identyfikator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uprawnia do zastrzegania stałego miejsca postoju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stanowi podstawy do roszczeń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przypadku braku miejsc postojowych”.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ust.3 dodaje się ppkt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brzmieniu:</w:t>
      </w:r>
    </w:p>
    <w:p w:rsidR="00A77B3E">
      <w:pPr>
        <w:keepNext w:val="0"/>
        <w:keepLines w:val="0"/>
        <w:spacing w:before="120" w:after="120" w:line="240" w:lineRule="auto"/>
        <w:ind w:left="79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stwierdzenia przestawienia zegara identyfikatora postojowego osoby niepełnosprawnej bez zmiany miejsca postojowego”.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Prezydentowi Miasta Piotrkowa Trybunalskiego.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Łódzkiego i 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od 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Piotrkowa Trybunalskiego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FC6960F5-3A93-42B7-A27B-C53FD7796B23.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LXVIII/841/23  z dnia 25 października 2023 r.</dc:title>
  <dc:subject>zmieniająca uchwałę w^sprawie ustalenia strefy płatnego parkowania na terenie miasta Piotrkowa Trybunalskiego, określenia wysokości stawek i^sposobu ich pobierania.</dc:subject>
  <dc:creator>mkowalska</dc:creator>
  <cp:lastModifiedBy>mkowalska</cp:lastModifiedBy>
  <cp:revision>1</cp:revision>
  <dcterms:created xsi:type="dcterms:W3CDTF">2023-11-02T12:02:24Z</dcterms:created>
  <dcterms:modified xsi:type="dcterms:W3CDTF">2023-11-02T12:02:24Z</dcterms:modified>
  <cp:category>Akt prawny</cp:category>
</cp:coreProperties>
</file>