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4C5" w:rsidRPr="007F24C5" w:rsidRDefault="007F24C5" w:rsidP="007F24C5">
      <w:pPr>
        <w:spacing w:line="360" w:lineRule="auto"/>
        <w:rPr>
          <w:rFonts w:ascii="Arial" w:hAnsi="Arial" w:cs="Arial"/>
          <w:sz w:val="24"/>
          <w:szCs w:val="24"/>
        </w:rPr>
      </w:pPr>
      <w:bookmarkStart w:id="0" w:name="_GoBack"/>
      <w:bookmarkEnd w:id="0"/>
      <w:r w:rsidRPr="007F24C5">
        <w:rPr>
          <w:rFonts w:ascii="Arial" w:hAnsi="Arial" w:cs="Arial"/>
          <w:sz w:val="24"/>
          <w:szCs w:val="24"/>
        </w:rPr>
        <w:t xml:space="preserve">Znak sprawy: DRM.0012.3.9.2023 </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Protokół Nr 68/23</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z posiedzenia Komisji Budżetu, Finansów i Planowania Rady Miasta Piotrkowa Trybunalskiego w dniu 25 września 2023 roku, która odbyła się w siedzibie Urzędu Miasta przy Pasaż Rudowskiego 10, sala obrad nr 1 w godzinach 15.00 -15.30</w:t>
      </w:r>
    </w:p>
    <w:p w:rsidR="007F24C5" w:rsidRPr="007F24C5" w:rsidRDefault="007F24C5" w:rsidP="007F24C5">
      <w:pPr>
        <w:spacing w:line="360" w:lineRule="auto"/>
        <w:rPr>
          <w:rFonts w:ascii="Arial" w:hAnsi="Arial" w:cs="Arial"/>
          <w:sz w:val="24"/>
          <w:szCs w:val="24"/>
        </w:rPr>
      </w:pP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Radni obecni na posiedzeniu:</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1.</w:t>
      </w:r>
      <w:r w:rsidRPr="007F24C5">
        <w:rPr>
          <w:rFonts w:ascii="Arial" w:hAnsi="Arial" w:cs="Arial"/>
          <w:sz w:val="24"/>
          <w:szCs w:val="24"/>
        </w:rPr>
        <w:tab/>
        <w:t>Czechowska Krystyna – Przewodnicząca Komisji</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2.</w:t>
      </w:r>
      <w:r w:rsidRPr="007F24C5">
        <w:rPr>
          <w:rFonts w:ascii="Arial" w:hAnsi="Arial" w:cs="Arial"/>
          <w:sz w:val="24"/>
          <w:szCs w:val="24"/>
        </w:rPr>
        <w:tab/>
        <w:t xml:space="preserve">Czajka Rafał </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3.</w:t>
      </w:r>
      <w:r w:rsidRPr="007F24C5">
        <w:rPr>
          <w:rFonts w:ascii="Arial" w:hAnsi="Arial" w:cs="Arial"/>
          <w:sz w:val="24"/>
          <w:szCs w:val="24"/>
        </w:rPr>
        <w:tab/>
        <w:t xml:space="preserve">Czubała Urszula </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4.</w:t>
      </w:r>
      <w:r w:rsidRPr="007F24C5">
        <w:rPr>
          <w:rFonts w:ascii="Arial" w:hAnsi="Arial" w:cs="Arial"/>
          <w:sz w:val="24"/>
          <w:szCs w:val="24"/>
        </w:rPr>
        <w:tab/>
        <w:t xml:space="preserve">Dajcz Sławomir </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5.</w:t>
      </w:r>
      <w:r w:rsidRPr="007F24C5">
        <w:rPr>
          <w:rFonts w:ascii="Arial" w:hAnsi="Arial" w:cs="Arial"/>
          <w:sz w:val="24"/>
          <w:szCs w:val="24"/>
        </w:rPr>
        <w:tab/>
        <w:t xml:space="preserve">Gajda Piotr </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6.</w:t>
      </w:r>
      <w:r w:rsidRPr="007F24C5">
        <w:rPr>
          <w:rFonts w:ascii="Arial" w:hAnsi="Arial" w:cs="Arial"/>
          <w:sz w:val="24"/>
          <w:szCs w:val="24"/>
        </w:rPr>
        <w:tab/>
        <w:t xml:space="preserve">Janik Łukasz </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7.</w:t>
      </w:r>
      <w:r w:rsidRPr="007F24C5">
        <w:rPr>
          <w:rFonts w:ascii="Arial" w:hAnsi="Arial" w:cs="Arial"/>
          <w:sz w:val="24"/>
          <w:szCs w:val="24"/>
        </w:rPr>
        <w:tab/>
        <w:t xml:space="preserve">Madej Halina </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8.</w:t>
      </w:r>
      <w:r w:rsidRPr="007F24C5">
        <w:rPr>
          <w:rFonts w:ascii="Arial" w:hAnsi="Arial" w:cs="Arial"/>
          <w:sz w:val="24"/>
          <w:szCs w:val="24"/>
        </w:rPr>
        <w:tab/>
        <w:t>Stachaczyk Sergiusz</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9.</w:t>
      </w:r>
      <w:r w:rsidRPr="007F24C5">
        <w:rPr>
          <w:rFonts w:ascii="Arial" w:hAnsi="Arial" w:cs="Arial"/>
          <w:sz w:val="24"/>
          <w:szCs w:val="24"/>
        </w:rPr>
        <w:tab/>
        <w:t>Staszek Mariusz – Wiceprzewodniczący Komisji</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10.</w:t>
      </w:r>
      <w:r w:rsidRPr="007F24C5">
        <w:rPr>
          <w:rFonts w:ascii="Arial" w:hAnsi="Arial" w:cs="Arial"/>
          <w:sz w:val="24"/>
          <w:szCs w:val="24"/>
        </w:rPr>
        <w:tab/>
        <w:t xml:space="preserve">Tera Monika  </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Lista obecności w załączeniu do protokołu.</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W posiedzeniu uczestniczyli także:</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1.</w:t>
      </w:r>
      <w:r w:rsidRPr="007F24C5">
        <w:rPr>
          <w:rFonts w:ascii="Arial" w:hAnsi="Arial" w:cs="Arial"/>
          <w:sz w:val="24"/>
          <w:szCs w:val="24"/>
        </w:rPr>
        <w:tab/>
        <w:t>Andrzej Kacperek-Wiceprezydent Miasta</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2.</w:t>
      </w:r>
      <w:r w:rsidRPr="007F24C5">
        <w:rPr>
          <w:rFonts w:ascii="Arial" w:hAnsi="Arial" w:cs="Arial"/>
          <w:sz w:val="24"/>
          <w:szCs w:val="24"/>
        </w:rPr>
        <w:tab/>
        <w:t>Izabela Wroniszewska – Skarbnik Miasta</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3.</w:t>
      </w:r>
      <w:r w:rsidRPr="007F24C5">
        <w:rPr>
          <w:rFonts w:ascii="Arial" w:hAnsi="Arial" w:cs="Arial"/>
          <w:sz w:val="24"/>
          <w:szCs w:val="24"/>
        </w:rPr>
        <w:tab/>
        <w:t>Agnieszka Kosela  – Kierownik Referatu Gospodarki Nieruchomościami</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4.</w:t>
      </w:r>
      <w:r w:rsidRPr="007F24C5">
        <w:rPr>
          <w:rFonts w:ascii="Arial" w:hAnsi="Arial" w:cs="Arial"/>
          <w:sz w:val="24"/>
          <w:szCs w:val="24"/>
        </w:rPr>
        <w:tab/>
        <w:t xml:space="preserve">Katarzyna Szokalska – Dyrektor Biura Rozwoju Miasta i Inwestycji  </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5.</w:t>
      </w:r>
      <w:r w:rsidRPr="007F24C5">
        <w:rPr>
          <w:rFonts w:ascii="Arial" w:hAnsi="Arial" w:cs="Arial"/>
          <w:sz w:val="24"/>
          <w:szCs w:val="24"/>
        </w:rPr>
        <w:tab/>
        <w:t>Agata Wypych – ZDiUM Kierownik Działu Komunikacji</w:t>
      </w:r>
    </w:p>
    <w:p w:rsidR="007F24C5" w:rsidRPr="007F24C5" w:rsidRDefault="007F24C5" w:rsidP="007F24C5">
      <w:pPr>
        <w:spacing w:line="360" w:lineRule="auto"/>
        <w:rPr>
          <w:rFonts w:ascii="Arial" w:hAnsi="Arial" w:cs="Arial"/>
          <w:sz w:val="24"/>
          <w:szCs w:val="24"/>
        </w:rPr>
      </w:pP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lastRenderedPageBreak/>
        <w:t>Punkt 1</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Stwierdzenie prawomocności posiedzenia.</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Obradom przewodniczyła pani Krystyna Czechowska Przewodnicząca Komisji Budżetu, Finansów i Planowania.</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 xml:space="preserve">Przewodnicząca obrad stwierdziła, że w chwili rozpoczęcia posiedzenia na sali jest obecnych 8 członków Komisji, co stanowi quorum i obrady są prawomocne. </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Punkt 2</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 xml:space="preserve">Proponowany porządek dzienny posiedzenia: </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1.</w:t>
      </w:r>
      <w:r w:rsidRPr="007F24C5">
        <w:rPr>
          <w:rFonts w:ascii="Arial" w:hAnsi="Arial" w:cs="Arial"/>
          <w:sz w:val="24"/>
          <w:szCs w:val="24"/>
        </w:rPr>
        <w:tab/>
        <w:t>Stwierdzenie prawomocności posiedzenia Komisji.</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2.</w:t>
      </w:r>
      <w:r w:rsidRPr="007F24C5">
        <w:rPr>
          <w:rFonts w:ascii="Arial" w:hAnsi="Arial" w:cs="Arial"/>
          <w:sz w:val="24"/>
          <w:szCs w:val="24"/>
        </w:rPr>
        <w:tab/>
        <w:t>Proponowany porządek dzienny posiedzenia:</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3.</w:t>
      </w:r>
      <w:r w:rsidRPr="007F24C5">
        <w:rPr>
          <w:rFonts w:ascii="Arial" w:hAnsi="Arial" w:cs="Arial"/>
          <w:sz w:val="24"/>
          <w:szCs w:val="24"/>
        </w:rPr>
        <w:tab/>
        <w:t>Przyjęcie protokołu ze wspólnego posiedzenia Komisji Budżetu, Finansów</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 xml:space="preserve">i Planowania, Komisji Oświaty i Nauki oraz Komisji Polityki Gospodarczej </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i Spraw Mieszkaniowych z dnia 28 sierpnia 2023 r.;</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4.</w:t>
      </w:r>
      <w:r w:rsidRPr="007F24C5">
        <w:rPr>
          <w:rFonts w:ascii="Arial" w:hAnsi="Arial" w:cs="Arial"/>
          <w:sz w:val="24"/>
          <w:szCs w:val="24"/>
        </w:rPr>
        <w:tab/>
        <w:t>Zaopiniowanie projektu uchwały w sprawie zmiany Wieloletniej Prognozy Finansowej Miasta Piotrkowa Trybunalskiego;</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5.</w:t>
      </w:r>
      <w:r w:rsidRPr="007F24C5">
        <w:rPr>
          <w:rFonts w:ascii="Arial" w:hAnsi="Arial" w:cs="Arial"/>
          <w:sz w:val="24"/>
          <w:szCs w:val="24"/>
        </w:rPr>
        <w:tab/>
        <w:t>Zaopiniowanie projektu uchwały w sprawie zmiany budżetu miasta na 2023 rok;</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6.</w:t>
      </w:r>
      <w:r w:rsidRPr="007F24C5">
        <w:rPr>
          <w:rFonts w:ascii="Arial" w:hAnsi="Arial" w:cs="Arial"/>
          <w:sz w:val="24"/>
          <w:szCs w:val="24"/>
        </w:rPr>
        <w:tab/>
        <w:t>Zaopiniowanie projektu uchwały w sprawie wyrażenia zgody na sprzedaż niezabudowanej nieruchomości położonej w Piotrkowie Trybunalskim przy ul. Wojska Polskiego 131a;</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7.</w:t>
      </w:r>
      <w:r w:rsidRPr="007F24C5">
        <w:rPr>
          <w:rFonts w:ascii="Arial" w:hAnsi="Arial" w:cs="Arial"/>
          <w:sz w:val="24"/>
          <w:szCs w:val="24"/>
        </w:rPr>
        <w:tab/>
        <w:t>Zaopiniowanie projektu uchwały w sprawie wyrażenia zgody na sprzedaż nieruchomości położonej w Piotrkowie Trybunalskim w rejonie ul. Metalowców i ul. Błotnej;</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8.</w:t>
      </w:r>
      <w:r w:rsidRPr="007F24C5">
        <w:rPr>
          <w:rFonts w:ascii="Arial" w:hAnsi="Arial" w:cs="Arial"/>
          <w:sz w:val="24"/>
          <w:szCs w:val="24"/>
        </w:rPr>
        <w:tab/>
        <w:t>Zaopiniowanie projektu uchwały w sprawie wyrażenia zgody na sprzedaż nieruchomości położonej w Piotrkowie Trybunalskim przy ul. Dzieci Polskich 26;</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9.</w:t>
      </w:r>
      <w:r w:rsidRPr="007F24C5">
        <w:rPr>
          <w:rFonts w:ascii="Arial" w:hAnsi="Arial" w:cs="Arial"/>
          <w:sz w:val="24"/>
          <w:szCs w:val="24"/>
        </w:rPr>
        <w:tab/>
        <w:t>Korespondencja skierowana do Komisji.</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10.</w:t>
      </w:r>
      <w:r w:rsidRPr="007F24C5">
        <w:rPr>
          <w:rFonts w:ascii="Arial" w:hAnsi="Arial" w:cs="Arial"/>
          <w:sz w:val="24"/>
          <w:szCs w:val="24"/>
        </w:rPr>
        <w:tab/>
        <w:t>Sprawy różne.</w:t>
      </w:r>
    </w:p>
    <w:p w:rsidR="007F24C5" w:rsidRPr="007F24C5" w:rsidRDefault="007F24C5" w:rsidP="007F24C5">
      <w:pPr>
        <w:spacing w:line="360" w:lineRule="auto"/>
        <w:rPr>
          <w:rFonts w:ascii="Arial" w:hAnsi="Arial" w:cs="Arial"/>
          <w:sz w:val="24"/>
          <w:szCs w:val="24"/>
        </w:rPr>
      </w:pP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 xml:space="preserve">Przewodnicząca Komisji wprowadziła do porządku obrad w ramach autopoprawki </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 xml:space="preserve">w pkt 4. Zaopiniowanie projektu uchwały w sprawie zmiany Wieloletniej Prognozy Finansowej Miasta Piotrkowa Trybunalskiego wraz z autopoprawką Prezydenta Miasta, w pkt 5. Zaopiniowanie projektu uchwały w sprawie zmiany budżetu miasta na 2023 rok wraz </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 xml:space="preserve">z autopoprawką Prezydenta Miasta. </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 xml:space="preserve">Pani Przewodnicząca  zapytała czy są uwagi do proponowanego porządku obrad. Uwag nie zgłoszono. W związku z tym Komisja przyjęła porządek obrad w następującej wersji: </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1.</w:t>
      </w:r>
      <w:r w:rsidRPr="007F24C5">
        <w:rPr>
          <w:rFonts w:ascii="Arial" w:hAnsi="Arial" w:cs="Arial"/>
          <w:sz w:val="24"/>
          <w:szCs w:val="24"/>
        </w:rPr>
        <w:tab/>
        <w:t>Stwierdzenie prawomocności posiedzenia Komisji.</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2.</w:t>
      </w:r>
      <w:r w:rsidRPr="007F24C5">
        <w:rPr>
          <w:rFonts w:ascii="Arial" w:hAnsi="Arial" w:cs="Arial"/>
          <w:sz w:val="24"/>
          <w:szCs w:val="24"/>
        </w:rPr>
        <w:tab/>
        <w:t>Proponowany porządek dzienny posiedzenia:</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3.</w:t>
      </w:r>
      <w:r w:rsidRPr="007F24C5">
        <w:rPr>
          <w:rFonts w:ascii="Arial" w:hAnsi="Arial" w:cs="Arial"/>
          <w:sz w:val="24"/>
          <w:szCs w:val="24"/>
        </w:rPr>
        <w:tab/>
        <w:t>Przyjęcie protokołu ze wspólnego posiedzenia Komisji Budżetu, Finansów</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 xml:space="preserve">i Planowania, Komisji Oświaty i Nauki oraz Komisji Polityki Gospodarczej </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i Spraw Mieszkaniowych z dnia 28 sierpnia 2023 r.;</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4.</w:t>
      </w:r>
      <w:r w:rsidRPr="007F24C5">
        <w:rPr>
          <w:rFonts w:ascii="Arial" w:hAnsi="Arial" w:cs="Arial"/>
          <w:sz w:val="24"/>
          <w:szCs w:val="24"/>
        </w:rPr>
        <w:tab/>
        <w:t>Zaopiniowanie projektu uchwały w sprawie zmiany Wieloletniej Prognozy Finansowej Miasta Piotrkowa Trybunalskiego wraz z autopoprawką Prezydenta Miasta;</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5.</w:t>
      </w:r>
      <w:r w:rsidRPr="007F24C5">
        <w:rPr>
          <w:rFonts w:ascii="Arial" w:hAnsi="Arial" w:cs="Arial"/>
          <w:sz w:val="24"/>
          <w:szCs w:val="24"/>
        </w:rPr>
        <w:tab/>
        <w:t>Zaopiniowanie projektu uchwały w sprawie zmiany budżetu miasta na 2023 rok wraz z autopoprawką Prezydenta Miasta;</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6.</w:t>
      </w:r>
      <w:r w:rsidRPr="007F24C5">
        <w:rPr>
          <w:rFonts w:ascii="Arial" w:hAnsi="Arial" w:cs="Arial"/>
          <w:sz w:val="24"/>
          <w:szCs w:val="24"/>
        </w:rPr>
        <w:tab/>
        <w:t>Zaopiniowanie projektu uchwały w sprawie wyrażenia zgody na sprzedaż niezabudowanej nieruchomości położonej w Piotrkowie Trybunalskim przy ul. Wojska Polskiego 131a;</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7.</w:t>
      </w:r>
      <w:r w:rsidRPr="007F24C5">
        <w:rPr>
          <w:rFonts w:ascii="Arial" w:hAnsi="Arial" w:cs="Arial"/>
          <w:sz w:val="24"/>
          <w:szCs w:val="24"/>
        </w:rPr>
        <w:tab/>
        <w:t>Zaopiniowanie projektu uchwały w sprawie wyrażenia zgody na sprzedaż nieruchomości położonej w Piotrkowie Trybunalskim w rejonie ul. Metalowców i ul. Błotnej;</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8.</w:t>
      </w:r>
      <w:r w:rsidRPr="007F24C5">
        <w:rPr>
          <w:rFonts w:ascii="Arial" w:hAnsi="Arial" w:cs="Arial"/>
          <w:sz w:val="24"/>
          <w:szCs w:val="24"/>
        </w:rPr>
        <w:tab/>
        <w:t>Zaopiniowanie projektu uchwały w sprawie wyrażenia zgody na sprzedaż nieruchomości położonej w Piotrkowie Trybunalskim przy ul. Dzieci Polskich 26;</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lastRenderedPageBreak/>
        <w:t>9.</w:t>
      </w:r>
      <w:r w:rsidRPr="007F24C5">
        <w:rPr>
          <w:rFonts w:ascii="Arial" w:hAnsi="Arial" w:cs="Arial"/>
          <w:sz w:val="24"/>
          <w:szCs w:val="24"/>
        </w:rPr>
        <w:tab/>
        <w:t>Korespondencja skierowana do Komisji.</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10.</w:t>
      </w:r>
      <w:r w:rsidRPr="007F24C5">
        <w:rPr>
          <w:rFonts w:ascii="Arial" w:hAnsi="Arial" w:cs="Arial"/>
          <w:sz w:val="24"/>
          <w:szCs w:val="24"/>
        </w:rPr>
        <w:tab/>
        <w:t>Sprawy różne.</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Punkt 3</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 xml:space="preserve">Przyjęcie protokołu ze wspólnego posiedzenia Komisji Budżetu, Finansów </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i Planowania, Komisji Oświaty i Nauki oraz Komisji Polityki Gospodarczej i Spraw Mieszkaniowych z dnia 28 sierpnia 2023 r.</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 xml:space="preserve">W wyniku przeprowadzonego głosowania (7-0-1) Komisja Budżetu, Finansów </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i Planowania przyjęła protokół bez uwag.</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Pani Krystyna Czechowska Przewodnicząca Komisji przekazała dalsze procedowanie porządku obrad panu Mariuszowi Staszkowi Wiceprzewodniczącemu Komisji.</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Punkt 4</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 xml:space="preserve">Zaopiniowanie projektu uchwały w sprawie zmiany Wieloletniej Prognozy Finansowej Miasta Piotrkowa Trybunalskiego wraz z autopoprawką Prezydenta Miasta.  </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 xml:space="preserve">Pan Mariusz Staszek Wiceprzewodniczący Komisji poprosił o omówienie szczegółów dotyczących autopoprawki panią Izabelę Wroniszewską Skarbnik Miasta. </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 xml:space="preserve">Pani Izabela Wroniszewska Skarbnik Miasta autopoprawka, którą dziś przekazaliśmy dotyczy projektu OZE (Odnawialne Źródła Energii) to jest zadanie, które ma być zrealizowane z dofinansowaniem. Ma dotyczyć instalacji fotowoltaicznych na posesjach mieszkańców. W związku autopoprawka była ustalona na podstawie wysokości kwoty przetargu oraz informacji uzyskanych od mieszkańców, którzy nadal podtrzymują chęć uczestnictwa w tym projekcie. Pani Skarbnik powiedziała aby móc rozstrzygnąć postępowanie, należy zwiększyć kwoty wydatków, które pozwolą na podpisanie umowy na dofinasowanie. Czekano do ostatniej chwili aby ustalić ostateczną kwotę stąd konieczność autopoprawki. W autopoprawce jest kwestia dotycząca dodatkowych środków z subwencji oświatowej ogólnej, którą otrzymaliśmy od Ministra Finansów, w części łącznej jest to kwota 323 tysiące 765 złotych. W związku z tym zaproponowaliśmy zwiększenie tych wartości, zarówno po stronie dochodów jaki i po stronie wydatków. Kolejny kwestia dotyczy taboru komunikacji </w:t>
      </w:r>
      <w:r w:rsidRPr="007F24C5">
        <w:rPr>
          <w:rFonts w:ascii="Arial" w:hAnsi="Arial" w:cs="Arial"/>
          <w:sz w:val="24"/>
          <w:szCs w:val="24"/>
        </w:rPr>
        <w:lastRenderedPageBreak/>
        <w:t xml:space="preserve">miejskiej, dane wpłynęły późno stąd także ze względu na ich wagę także zostały ujęte w autopoprawce. Pani Skarbnik wyjaśniła również punkt obejmujący Wieloletnią Prognozę Finansową. Zmiana dotyczy zwiększenia dochodu w budżecie w kwocie o 39 milionów 500 tysięcy 232 złote i 33 grosze i zwiększenia wydatków o kwotę 22 miliony 350 tysięcy 270 złotych i 54 grosze. W wyniku tych zmian kwota deficytu zmniejszy się o 17 milionów 149 tysięcy 961 złotych i 79 groszy. Kwota spłat pożyczek ani przychodów z tytułu pożyczek również się nie zmieni. Wskaźnik spłat zobowiązań w relacji do planowanych dochodów zmniejszy się 2,9 pkt % i wyniesie 29,2. Główne zmiany w przedsięwzięciach dotyczą programu Cyfrowej Gminy, OZE i taboru komunikacji, rozbudowę ulicy Roosevelta – jest tu przesunięcie o kwotę 4 miliony złotych pomiędzy latami. Zamiast zmniejszenia wydatków planowanych za rok 2024 na 2023 ze względu na zmianę harmonogramu zaproponowanego przez wykonawcę. Autopoprawka obejmuje również rozbudowę ulicy Przedborskiej na którą pozyskaliśmy dofinansowanie z rezerwy budżetowej ogólnej w kwocie 2 miliony 325 tysięcy 811 złotych i 92 grosze. Pozostałe zmiany to rewitalizacja terenów Podzamcza nastąpiło przesunięcie środków z tego roku na rok następny 560 tysięcy złotych, budowa parkingu, remont dachu Urzędu Miasta, budowa i modernizacja kanalizacji to są kwestie rozliczające przedsięwzięcia. Jeśli chodzi o zmiany w budżecie te wysokie wartości dotyczą uzupełnienia subwencji, które w wyniku zmiany ustawy weszły w życie i dotyczyły wszystkich samorządów. To jest pewna rekompensata ubytku w PIT-e, dla miasta Piotrkowa Trybunalskiego, ta rekompensata została przyznana na poziomie łącznym 35 milionów w części gminnej jest o 31 milionów 76 tysięcy 938  złotych, w części powiatowej jest to kwota 3 miliony 923 tysiące 62 złote. Ta są istotne pozycje jeśli chodzi o zwiększenie dochodów oraz subwencja oświatowa na przekazanie zwiększonego Funduszu Świadczeń Socjalnych od PIS-u. Natomiast w wydatkach, główne pozycje to przebudowa ulicy Przedborskiej z rozbudową ulicy Roosevelta czyli zwiększenie wartości o 4 miliony złotych w tym roku. Zwiększenie wydatków o 631 tysięcy złotych na wypłatę odszkodowań za infrastrukturę techniczną czyli wybudowane fragmenty sieci wodociągowo- kanalizacyjnej. Wydatki bieżące są to wydatki na instytucje kultury, zwiększone wydatki związane z energią czyli Miejski Ośrodek Kultury i  Mediateka. Jeśli chodzi o MOPR to jest to kwota na dofinansowanie pobytu mieszkańców w Domu Pomocy Społecznej w wysokości 205 tysięcy złotych, dodatki mieszkaniowe 515 tysięcy złotych w związku ze zwiększonym kryterium dochodowy </w:t>
      </w:r>
      <w:r w:rsidRPr="007F24C5">
        <w:rPr>
          <w:rFonts w:ascii="Arial" w:hAnsi="Arial" w:cs="Arial"/>
          <w:sz w:val="24"/>
          <w:szCs w:val="24"/>
        </w:rPr>
        <w:lastRenderedPageBreak/>
        <w:t xml:space="preserve">oraz na świadczenia w ramach Pieczy Zastępczej w kwocie ponad 320 tysięcy złotych. Pozostała kwota po autopoprawce w wysokości 14 milionów 184 tysięcy 46 złotych i 40 groszy jest zabezpieczona w rezerwach. Na oświatową rezerwę jest to zwiększona kwota o 8 milionów 700 tysięcy, ze względu na wnioski Referatu Edukacji o zabezpieczenie dodatkowych środków zarówno na wynagrodzenia jak i wydatki rzeczowe w piotrkowskich szkołach a także na dotacje dla placówek niepublicznych. Ze względu na to, że po 30 września będzie wiadomo ilu będzie uczniów, to pozwoli ustalić jakie kwoty dla których szkół będą potrzebne do dofinasowania. Rezerwa celowa będzie przeznaczona na pomoc społeczną, nagrody jubileuszowe oraz wynagrodzenia wraz z uwzględnieniem podwyżek w lipcu. Przy tych zmianach pozostaje nadwyżka bieżąca 4 miliony 728 tysięcy 642 złote. </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Pan Piotr Gajda zapytał o kwoty, które są zabezpieczone dla MOK-u oraz Mediateki na energię. Czy te kwoty są zabezpieczone z automatu? Czy dyrektorzy wystąpili o te pieniądze?</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 xml:space="preserve">Pani Izabela Wroniszewska Skarbnik Miasta odpowiedziała, że dyrektorzy wystąpili </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 xml:space="preserve">o zabezpieczenia szczegółowo uzasadniając łącznie z opisami jak się ma wykorzystanie tej energii jeśli chodzi  o oszczędności na zużyciu.  </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Pan Piotr Gajda jakie Mediateka ma zużycie energii?</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 xml:space="preserve">Pani Izabela Wroniszewska Skarbnik Miasta powiedziała, że nie mam tych danych przy sobie. </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 xml:space="preserve">Pan Piotr Gajda powiedział, że o tą kwestię dopyta na Sesji Rady Miasta. Zgłosił problem kadrowy jaki jest w Muzeum. Z 46 pracowników jakich było zatrudnionych zostało 14. Według informacji pana radnego pracownicy techniczni będą pełnić rolę strażników do godziny dziesiątej. Pan radny zapytał czy pani dyrektor Muzeum złożyła zapytanie do Skarbnik czy jest możliwe pozyskania kwot na dopełnienie kilku godzin dziennie do funkcji strażniczych. </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Pani Izabela Wroniszewska Skarbnik Miasta: taki wniosek nie wpłynął do Skarbnika, czy wpłynął do Referatu Kultury nie mam takich informacji.</w:t>
      </w:r>
    </w:p>
    <w:p w:rsidR="007F24C5" w:rsidRPr="007F24C5" w:rsidRDefault="007F24C5" w:rsidP="007F24C5">
      <w:pPr>
        <w:spacing w:line="360" w:lineRule="auto"/>
        <w:rPr>
          <w:rFonts w:ascii="Arial" w:hAnsi="Arial" w:cs="Arial"/>
          <w:sz w:val="24"/>
          <w:szCs w:val="24"/>
        </w:rPr>
      </w:pP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Pan Piotr Gajda: czyli była by możliwość aby pani Dyrektor Muzeum taki wniosek złożyła?</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 xml:space="preserve">Pani Izabela Wroniszewska Skarbnik Miasta: jeśli będzie wniosek złożony i będzie zaopiniowany przez komórkę merytoryczną, że jest zasadność to Skarbnik tylko potwierdza czy jest możliwość sfinansowania czy nie. To jest tylko kwestia zachowania procedury. </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 xml:space="preserve">W wyniku przeprowadzonego głosowania (7-3-0) Komisja zaopiniowała pozytywnie projekt uchwały w sprawie zmiany Wieloletniej Prognozy Finansowej Miasta Piotrkowa Trybunalskiego wraz z autopoprawką Prezydenta Miasta. </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Opinia Nr 449/68/23</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Punkt 5</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 xml:space="preserve">Zaopiniowanie projektu uchwały w sprawie zmiany budżetu miasta na 2023 rok wraz </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z autopoprawką Prezydenta Miasta.</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W wyniku przeprowadzonego głosowania (7-3-0) Komisja zaopiniowała pozytywnie projekt uchwały w sprawie zmiany budżetu miasta na 2023 rok wraz z autopoprawką Prezydenta Miasta.</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Opinia Nr 450/68/23</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Punkt 6</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 xml:space="preserve">Zaopiniowanie projektu uchwały w sprawie wyrażenia zgody na sprzedaż niezabudowanej nieruchomości położonej w Piotrkowie Trybunalskim przy ul. Wojska Polskiego 131a. </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W wyniku przeprowadzonego głosowania (7-0-3) Komisja zaopiniowała pozytywnie projekt uchwały w sprawie wyrażenia zgody na sprzedaż niezabudowanej nieruchomości położonej w Piotrkowie Trybunalskim przy ul. Wojska Polskiego 131a.</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Opinia Nr 451/68/23</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Punkt 7</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Zaopiniowanie projektu uchwały w sprawie wyrażenia zgody na sprzedaż nieruchomości położonej w Piotrkowie Trybunalskim w rejonie ul. Metalowców i ul. Błotnej.</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 xml:space="preserve">Pan Mariusz Staszek Wiceprzewodniczący Komisji przypomniał, że omawiany punkt dotyczy miejsca przeznaczonego na stacje energetyczną. </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 xml:space="preserve">W wyniku przeprowadzonego głosowania (10-0-0) Komisja zaopiniowała pozytywnie projekt uchwały w sprawie wyrażenia zgody na sprzedaż nieruchomości położonej </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 xml:space="preserve">w Piotrkowie Trybunalskim w rejonie ul. Metalowców i ul. Błotnej. </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 xml:space="preserve">Opinia Nr 452/68/23 </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Punkt 8</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Zaopiniowanie projektu uchwały w sprawie wyrażenia zgody na sprzedaż nieruchomości położonej w Piotrkowie Trybunalskim przy ul. Dzieci Polskich 26.</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Pan Mariusz Staszek Wiceprzewodniczący Komisji poprosił o omówienie tego punktu.</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 xml:space="preserve">Pani Agnieszka Kosela Kierownik Referatu Gospodarki Nieruchomościami powiedział jest to nieruchomość składająca się z dwóch działek ewidencyjnych o łącznej powierzchni 3311 m2 Dlatego terenu obowiązuję miejscowy plan zagospodarowania przestrzennego zgodnie z którym nieruchomość jest przeznaczona pod tereny rolnicze, łąki. Działka wcześniej była przedmiotem dzierżawy przez właściciela nieruchomości sąsiedniej. Na dziś stan jest taki, że ta nieruchomość prywatna wystawiona jest na sprzedaż. W związku z tym nieruchomość miasta jest zaproponowana także do sprzedaży. </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Pan Piotr Gajda: czy to jest strefa o ochrony rzeki Strawy?</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 xml:space="preserve">Pani Agnieszka Kosela Kierownik Referatu Gospodarki Nieruchomościami: tak </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 xml:space="preserve">z ograniczeniami, które wynikają z miejscowego planu zagospodarowania przestrzennego. </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 xml:space="preserve">Pan Piotr Gajda: proszę przybliżyć jakie są ograniczenia? Pan radny stwierdził, </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 xml:space="preserve">iż utrzymywanie terenów rolniczy w mieście jest absurdalne. </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 xml:space="preserve">Pani Agnieszka Kosela Kierownik Referatu Gospodarki Nieruchomościami odpowiedziała, że nieruchomość przeznaczamy na sprzedaż w takim stanie jaki jest w tej chwili, obowiązuje nas miejscowy plan zagospodarowania przestrzennego. W związku z tym nie można wykonywać tam nic więcej niż to co wynika z miejscowego planu. Jeśli chodzi </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 xml:space="preserve">o ograniczenia na pewno musi zostać zachowany dostęp do rzeki Strawy. </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Pan Piotr Gajda: czy można wybudować tam budynek mieszkalny?</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Pani Agnieszka Kosela Kierownik Referatu Gospodarki Nieruchomościami: jest zakaz lokalizacji budynków.</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 xml:space="preserve">W wyniku przeprowadzonego głosowania (6-3-0) Komisja zaopiniowała pozytywnie projekt uchwały w sprawie wyrażenia zgody na sprzedaż nieruchomości położonej w Piotrkowie Trybunalskim. </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 xml:space="preserve">Opinia Nr 453/68/23 </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Punkt 9</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Korespondencja skierowana do Komisji.</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Brak korespondencji skierowanej do Komisji.</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Punkt 10</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Sprawy różne.</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 xml:space="preserve">Pan Piotr Gajda poinformował, iż występuje z pismem do Przewodniczącego Rady Miasta Piotrkowa Trybunalskiego w sprawie nielegalnego użytkowania betoniarni na ulicy Wroniej </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 xml:space="preserve">i zakłócaniu spokoju mieszańców przy tej ulicy. Odczytał treść pisma: </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 xml:space="preserve">„W związku z nielegalną działalności Firmy,, JUST-KOST” Łukasz Justyna z siedzibą Gazomia Nowa 109 – 97-300 Moszczenica, która prowadzi bezprawnie produkcję na działkach nr ewid. 190/2, 23/2 obręb 42 przy ul. Wroniej w Piotrkowie Trybunalskim </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w oparciu o wydaną przez Urząd Miasta Piotrkowa Trybunalskiego Decyzję NR 60/2023 z dnia 15 marca 2023 roku, prosimy o wprowadzenie na Komisję Polityki Gospodarczej i Spraw Mieszkaniowych i Sesję Rady Miasta punktu dotyczącego powyższej sprawy, oraz umożliwienie zabrania głosu przez mieszkańców Osiedla ,,Wronia". Podpisani Piotr Gajda, Łukasz Janik, Sergiusz Stachaczyk.” Pan radny przedstawił ciężką sytuację mieszkańców przy ulicy Wroniej oraz zaapelował o poparcie wprowadzenia tego punktu na Sesję Rady Miasta.</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Pan Mariusz Staszek Wiceprzewodniczący Komisji zapytał czy jest to wniosek formalny czy to jest pismo?</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Pan Piotr Gajda: dziś składamy pismo.</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 xml:space="preserve">Pan Mariusz Staszek Wiceprzewodniczący Komisji poinformował, iż Przewodniczący zgodnie z procedurą ma 7 dni na rozpatrzenie pisma, więc prawdopodobnie tego punktu nie będzie na nadchodzącej Sesji Rady Miasta. </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 xml:space="preserve">Na tym protokół zakończono. </w:t>
      </w:r>
    </w:p>
    <w:p w:rsidR="007F24C5" w:rsidRPr="007F24C5" w:rsidRDefault="007F24C5" w:rsidP="007F24C5">
      <w:pPr>
        <w:spacing w:line="360" w:lineRule="auto"/>
        <w:rPr>
          <w:rFonts w:ascii="Arial" w:hAnsi="Arial" w:cs="Arial"/>
          <w:sz w:val="24"/>
          <w:szCs w:val="24"/>
        </w:rPr>
      </w:pPr>
      <w:r w:rsidRPr="007F24C5">
        <w:rPr>
          <w:rFonts w:ascii="Arial" w:hAnsi="Arial" w:cs="Arial"/>
          <w:sz w:val="24"/>
          <w:szCs w:val="24"/>
        </w:rPr>
        <w:t>Przewodnicząca Komisji (-) Krystyna Czechowska</w:t>
      </w:r>
    </w:p>
    <w:p w:rsidR="007F24C5" w:rsidRDefault="007F24C5" w:rsidP="007F24C5"/>
    <w:sectPr w:rsidR="007F24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4C5"/>
    <w:rsid w:val="00317168"/>
    <w:rsid w:val="00457A5A"/>
    <w:rsid w:val="007F24C5"/>
    <w:rsid w:val="00CB0798"/>
    <w:rsid w:val="00E705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48321-606E-447F-A27B-EF0688E0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2244</Words>
  <Characters>13465</Characters>
  <Application>Microsoft Office Word</Application>
  <DocSecurity>4</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Muszyńska Ewelina</dc:creator>
  <cp:keywords/>
  <dc:description/>
  <cp:lastModifiedBy>Budkowska Paulina</cp:lastModifiedBy>
  <cp:revision>2</cp:revision>
  <dcterms:created xsi:type="dcterms:W3CDTF">2023-10-26T12:55:00Z</dcterms:created>
  <dcterms:modified xsi:type="dcterms:W3CDTF">2023-10-26T12:55:00Z</dcterms:modified>
</cp:coreProperties>
</file>