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424" w14:textId="043502D9" w:rsidR="00C17E47" w:rsidRDefault="00C64DB8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416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01</w:t>
      </w:r>
      <w:r w:rsidR="00C17E47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69632F">
            <w:rPr>
              <w:b/>
              <w:bCs/>
              <w:sz w:val="28"/>
              <w:szCs w:val="28"/>
            </w:rPr>
            <w:t>w sprawie zmiany budżetu Miasta na rok 2022</w:t>
          </w:r>
        </w:sdtContent>
      </w:sdt>
    </w:p>
    <w:p w14:paraId="6A388BB1" w14:textId="77777777" w:rsidR="00C17E47" w:rsidRPr="00BA13CD" w:rsidRDefault="00C17E47" w:rsidP="00BA13CD">
      <w:pPr>
        <w:jc w:val="center"/>
        <w:rPr>
          <w:b/>
          <w:bCs/>
          <w:sz w:val="28"/>
          <w:szCs w:val="28"/>
        </w:rPr>
      </w:pPr>
    </w:p>
    <w:permStart w:id="334522198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1654025C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 xml:space="preserve">Na podstawie art. 30 ust. 1 i art. 60 ust. 2 pkt. 3, 4, 5 ustawy z dnia 8 marca 1990 r. o samorządzie gminnym: (Dz. U. z 2022 r. poz. 559, z późn.zm.), art. 257 ustawy z dnia 27 sierpnia 2009 r. o finansach publicznych (Dz. U. z 2022 r. poz. 1634, z późn.zm.), art. 28 pkt 1 ustawy z dnia 27 października 2022 r. o zakupie preferencyjnym paliwa stałego dla gospodarstw domowych (Dz.U. z 2022 r. poz. 2236)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rok, zarządza się, co następuje: </w:t>
          </w:r>
        </w:p>
        <w:p w14:paraId="2FEB3CF8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§ 1.1. Zmniejsza się dochody budżetowe o kwotę 62.638,83 zł, w tym:</w:t>
          </w:r>
        </w:p>
        <w:p w14:paraId="6E8EBCC0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- zmniejsza się dochody dotyczące gminy o 104.175,81 zł,</w:t>
          </w:r>
        </w:p>
        <w:p w14:paraId="74EBF69A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- zwiększa się dochody dotyczące powiatu o 41.536,98 zł,</w:t>
          </w:r>
        </w:p>
        <w:p w14:paraId="1B605EAB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zgodnie z załącznikami nr 1/A i 1/B.</w:t>
          </w:r>
        </w:p>
        <w:p w14:paraId="5B1C8F2D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2. Zmniejsza się wydatki budżetowe o kwotę 62.638,83 zł, w tym:</w:t>
          </w:r>
        </w:p>
        <w:p w14:paraId="71AD8F01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- zmniejsza się wydatki dotyczące zadań gminy o 203.363,81 zł,</w:t>
          </w:r>
        </w:p>
        <w:p w14:paraId="2A541B84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- zwiększa się wydatki dotyczące zadań powiatu o 140.724,98 zł,</w:t>
          </w:r>
        </w:p>
        <w:p w14:paraId="77B05E0F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zgodnie z załącznikami nr 2/A i 2/B.</w:t>
          </w:r>
        </w:p>
        <w:p w14:paraId="44154DC0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3. Dokonuje się zmian w planie dotacji na realizację zadań z zakresu administracji rządowej oraz innych zadań zleconych ustawami zgodnie z załącznikami nr 3/A i 3/B.</w:t>
          </w:r>
        </w:p>
        <w:p w14:paraId="00549299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4788B4E0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5. Dokonuje się zmian w planie dochodów i wydatków związanych z realizacją zadań finansowanych z Funduszu Pomocy, zgodnie z załącznikiem nr 5.</w:t>
          </w:r>
        </w:p>
        <w:p w14:paraId="628FBF2E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6. Plan wydatków na programy i projekty realizowane z udziałem środków pochodzących z Unii Europejskiej, stanowiący załącznik nr 8 do Uchwały Nr LVII/718/22 Rady Miasta Piotrkowa Trybunalskiego z dnia  30 listopada 2022 r. w sprawie zmiany budżetu miasta na rok 2022, otrzymuje brzmienie zgodne z załącznikiem nr 6.</w:t>
          </w:r>
        </w:p>
        <w:p w14:paraId="3FA62CB7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7. Dokonuje się zmian w planie dotacji dla podmiotów niezaliczanych do sektora finansów publicznych, zgodnie z załącznikiem nr 7/A.</w:t>
          </w:r>
        </w:p>
        <w:p w14:paraId="650E3C9F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lastRenderedPageBreak/>
            <w:t>§ 2. Budżet Miasta po zmianach wynosi:</w:t>
          </w:r>
        </w:p>
        <w:p w14:paraId="6E389F4A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592.505.996,13 zł, w tym:</w:t>
          </w:r>
        </w:p>
        <w:p w14:paraId="0D43B992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dotyczące zadań gminy 430.255.060,60 zł,</w:t>
          </w:r>
        </w:p>
        <w:p w14:paraId="7A32C7DD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bieżące 414.625.928,76 zł,</w:t>
          </w:r>
        </w:p>
        <w:p w14:paraId="092A6179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majątkowe 15.629.131,84 zł,</w:t>
          </w:r>
        </w:p>
        <w:p w14:paraId="39EA1FEC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dotyczące zadań powiatu 162.250.935,53 zł</w:t>
          </w:r>
        </w:p>
        <w:p w14:paraId="65D766B7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bieżące 154.642.891,44 zł,</w:t>
          </w:r>
        </w:p>
        <w:p w14:paraId="138C6D59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dochody majątkowe 7.608.044,09 zł,</w:t>
          </w:r>
        </w:p>
        <w:p w14:paraId="0D4BB445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621.693.966,15 zł w tym:</w:t>
          </w:r>
        </w:p>
        <w:p w14:paraId="2C4F72BD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dotyczące zadań gminy 456.926.694,98 zł,</w:t>
          </w:r>
        </w:p>
        <w:p w14:paraId="7EF194EC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bieżące 396.514.672,06 zł,</w:t>
          </w:r>
        </w:p>
        <w:p w14:paraId="14EB20E4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majątkowe 60.412.022,92 zł,</w:t>
          </w:r>
        </w:p>
        <w:p w14:paraId="1B5987BF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dotyczące zadań powiatu 164.767.271,17 zł,</w:t>
          </w:r>
        </w:p>
        <w:p w14:paraId="54B977B6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bieżące 155.036.544,51 zł,</w:t>
          </w:r>
        </w:p>
        <w:p w14:paraId="6A326C56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wydatki majątkowe 9.730.726,66 zł.</w:t>
          </w:r>
        </w:p>
        <w:p w14:paraId="2B731CAC" w14:textId="77777777" w:rsidR="00C17E47" w:rsidRPr="0069632F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§ 3. 1. Rozwiązuje się rezerwę ogólną o kwotę 69.202,80 zł, która po zmianie wyniesie 553.267,00 zł.</w:t>
          </w:r>
        </w:p>
        <w:p w14:paraId="7A1FCEDE" w14:textId="77777777" w:rsidR="00C64DB8" w:rsidRDefault="00C64DB8" w:rsidP="0069632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69632F">
            <w:rPr>
              <w:rFonts w:ascii="Arial" w:hAnsi="Arial" w:cs="Arial"/>
              <w:sz w:val="24"/>
              <w:szCs w:val="24"/>
            </w:rPr>
            <w:t>§ 4. Zarządzenie wchodzi w życie z dniem podpisania i podlega ogłoszeniu w Dzienniku Urzędowym Województwa Łódzkiego oraz w Biuletynie Informacji Publicznej.</w:t>
          </w:r>
        </w:p>
        <w:p w14:paraId="3150196E" w14:textId="77777777" w:rsidR="00C64DB8" w:rsidRDefault="00C64DB8" w:rsidP="00C64DB8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68EC5152" w14:textId="77777777" w:rsidR="00C64DB8" w:rsidRDefault="00C64DB8" w:rsidP="00C64DB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4CF8B81D" w14:textId="77777777" w:rsidR="00C17E47" w:rsidRDefault="00C64DB8" w:rsidP="00C64DB8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ermEnd w:id="334522198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7CBC1E01" w14:textId="77777777" w:rsidR="00C17E47" w:rsidRDefault="00C64DB8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69632F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895D" w14:textId="77777777" w:rsidR="003854B0" w:rsidRDefault="00C64DB8">
      <w:pPr>
        <w:spacing w:after="0" w:line="240" w:lineRule="auto"/>
      </w:pPr>
      <w:r>
        <w:separator/>
      </w:r>
    </w:p>
  </w:endnote>
  <w:endnote w:type="continuationSeparator" w:id="0">
    <w:p w14:paraId="7E9BA135" w14:textId="77777777" w:rsidR="003854B0" w:rsidRDefault="00C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F3F1" w14:textId="77777777" w:rsidR="00C17E47" w:rsidRPr="00F22A10" w:rsidRDefault="00C64DB8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F4AA" w14:textId="77777777" w:rsidR="003854B0" w:rsidRDefault="00C64DB8">
      <w:pPr>
        <w:spacing w:after="0" w:line="240" w:lineRule="auto"/>
      </w:pPr>
      <w:r>
        <w:separator/>
      </w:r>
    </w:p>
  </w:footnote>
  <w:footnote w:type="continuationSeparator" w:id="0">
    <w:p w14:paraId="1B2E849A" w14:textId="77777777" w:rsidR="003854B0" w:rsidRDefault="00C6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B8"/>
    <w:rsid w:val="003854B0"/>
    <w:rsid w:val="00C17E47"/>
    <w:rsid w:val="00C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AC4B"/>
  <w15:docId w15:val="{CD1F7D64-052F-42C5-8996-7E056FD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F60016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09E9-66EB-43DF-931A-CD00FD4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2023-08-09T06:55:00Z</dcterms:created>
  <dcterms:modified xsi:type="dcterms:W3CDTF">2023-08-09T06:55:00Z</dcterms:modified>
</cp:coreProperties>
</file>