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00187A" w:rsidP="002E248C">
      <w:bookmarkStart w:id="0" w:name="ezdSprawaZnak"/>
      <w:r>
        <w:t>DBI.0050.246.2023</w:t>
      </w:r>
      <w:bookmarkEnd w:id="0"/>
    </w:p>
    <w:p w:rsidR="005014BA" w:rsidRDefault="0000187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246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13-07-2023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241975627" w:edGrp="everyone"/>
          <w:r w:rsidRPr="005518D4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241975627"/>
        </w:sdtContent>
      </w:sdt>
    </w:p>
    <w:p w:rsidR="00BA13CD" w:rsidRPr="00BA13CD" w:rsidRDefault="0000187A" w:rsidP="00BA13CD">
      <w:pPr>
        <w:jc w:val="center"/>
        <w:rPr>
          <w:b/>
          <w:bCs/>
          <w:sz w:val="28"/>
          <w:szCs w:val="28"/>
        </w:rPr>
      </w:pPr>
    </w:p>
    <w:permStart w:id="147918821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Na podstawie art. 30 ust. 1 i art. 60 ust. 2 pkt. 3, 4, 5 ustawy z dnia 8 marca 1990 r. o samorządzie </w:t>
          </w:r>
          <w:r w:rsidRPr="006C67B5">
            <w:rPr>
              <w:rFonts w:ascii="Arial" w:hAnsi="Arial" w:cs="Arial"/>
              <w:sz w:val="24"/>
              <w:szCs w:val="24"/>
            </w:rPr>
            <w:t>gminnym: (Dz. U. z 2023 r. poz. 40, z późn.zm.), art. 257 ustawy z dnia 27 sierpnia 2009 r. o finansach publicznych (Dz. U. z 202</w:t>
          </w:r>
          <w:r>
            <w:rPr>
              <w:rFonts w:ascii="Arial" w:hAnsi="Arial" w:cs="Arial"/>
              <w:sz w:val="24"/>
              <w:szCs w:val="24"/>
            </w:rPr>
            <w:t>3</w:t>
          </w:r>
          <w:r w:rsidRPr="006C67B5">
            <w:rPr>
              <w:rFonts w:ascii="Arial" w:hAnsi="Arial" w:cs="Arial"/>
              <w:sz w:val="24"/>
              <w:szCs w:val="24"/>
            </w:rPr>
            <w:t xml:space="preserve"> r. poz. </w:t>
          </w:r>
          <w:r>
            <w:rPr>
              <w:rFonts w:ascii="Arial" w:hAnsi="Arial" w:cs="Arial"/>
              <w:sz w:val="24"/>
              <w:szCs w:val="24"/>
            </w:rPr>
            <w:t>1270</w:t>
          </w:r>
          <w:r w:rsidRPr="006C67B5">
            <w:rPr>
              <w:rFonts w:ascii="Arial" w:hAnsi="Arial" w:cs="Arial"/>
              <w:sz w:val="24"/>
              <w:szCs w:val="24"/>
            </w:rPr>
            <w:t>), § 28 Uchwały Nr LVIII/732/22 Rady Miasta Piotrkowa Trybunalskiego z dnia 21 grudnia 2022 r. w sprawie uchwalen</w:t>
          </w:r>
          <w:r w:rsidRPr="006C67B5">
            <w:rPr>
              <w:rFonts w:ascii="Arial" w:hAnsi="Arial" w:cs="Arial"/>
              <w:sz w:val="24"/>
              <w:szCs w:val="24"/>
            </w:rPr>
            <w:t xml:space="preserve">ia budżetu miasta na 2023 r. oraz § 9 Uchwały Nr LX/745/23 Rady Miasta Piotrkowa Trybunalskiego z dnia 25 stycznia 2023 r. w sprawie zmiany budżetu miasta na 2023 r., zarządza się, co następuje: </w:t>
          </w:r>
        </w:p>
        <w:p w:rsidR="006C67B5" w:rsidRPr="006C67B5" w:rsidRDefault="0000187A" w:rsidP="006C67B5">
          <w:pPr>
            <w:pStyle w:val="Tekstpodstawowy"/>
            <w:rPr>
              <w:rFonts w:ascii="Arial" w:hAnsi="Arial" w:cs="Arial"/>
            </w:rPr>
          </w:pPr>
          <w:r w:rsidRPr="006C67B5">
            <w:rPr>
              <w:rFonts w:ascii="Arial" w:hAnsi="Arial" w:cs="Arial"/>
            </w:rPr>
            <w:t>§ 1.1. Zwiększa się dochody budżetowe o kwotę 865.831,08 zł,</w:t>
          </w:r>
          <w:r w:rsidRPr="006C67B5">
            <w:rPr>
              <w:rFonts w:ascii="Arial" w:hAnsi="Arial" w:cs="Arial"/>
            </w:rPr>
            <w:t xml:space="preserve"> w tym:</w:t>
          </w:r>
        </w:p>
        <w:p w:rsidR="006C67B5" w:rsidRPr="006C67B5" w:rsidRDefault="0000187A" w:rsidP="006C67B5">
          <w:pPr>
            <w:spacing w:line="360" w:lineRule="auto"/>
            <w:rPr>
              <w:rFonts w:ascii="Arial" w:hAnsi="Arial" w:cs="Arial"/>
            </w:rPr>
          </w:pPr>
          <w:r w:rsidRPr="006C67B5">
            <w:rPr>
              <w:rFonts w:ascii="Arial" w:hAnsi="Arial" w:cs="Arial"/>
            </w:rPr>
            <w:t>- zwiększa się dochody dotyczące gminy o 821.366,00 zł,</w:t>
          </w:r>
        </w:p>
        <w:p w:rsidR="006C67B5" w:rsidRPr="006C67B5" w:rsidRDefault="0000187A" w:rsidP="006C67B5">
          <w:pPr>
            <w:spacing w:line="360" w:lineRule="auto"/>
            <w:rPr>
              <w:rFonts w:ascii="Arial" w:hAnsi="Arial" w:cs="Arial"/>
            </w:rPr>
          </w:pPr>
          <w:r w:rsidRPr="006C67B5">
            <w:rPr>
              <w:rFonts w:ascii="Arial" w:hAnsi="Arial" w:cs="Arial"/>
            </w:rPr>
            <w:t>- zwiększa się dochody dotyczące powiatu o 44.465,08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zgodnie z załącznikami nr 1/A i 1/B.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2. Zwiększa się wydatki budżetowe o kwotę 865.831,08 zł, w tym:</w:t>
          </w:r>
        </w:p>
        <w:p w:rsidR="006C67B5" w:rsidRPr="006C67B5" w:rsidRDefault="0000187A" w:rsidP="006C67B5">
          <w:pPr>
            <w:spacing w:line="360" w:lineRule="auto"/>
            <w:rPr>
              <w:rFonts w:ascii="Arial" w:hAnsi="Arial" w:cs="Arial"/>
            </w:rPr>
          </w:pPr>
          <w:r w:rsidRPr="006C67B5">
            <w:rPr>
              <w:rFonts w:ascii="Arial" w:hAnsi="Arial" w:cs="Arial"/>
            </w:rPr>
            <w:t>- zwiększa się wydatki dotyczące z</w:t>
          </w:r>
          <w:r w:rsidRPr="006C67B5">
            <w:rPr>
              <w:rFonts w:ascii="Arial" w:hAnsi="Arial" w:cs="Arial"/>
            </w:rPr>
            <w:t>adań gminy o 960.651,00 zł,</w:t>
          </w:r>
        </w:p>
        <w:p w:rsidR="006C67B5" w:rsidRPr="006C67B5" w:rsidRDefault="0000187A" w:rsidP="006C67B5">
          <w:pPr>
            <w:spacing w:line="360" w:lineRule="auto"/>
            <w:rPr>
              <w:rFonts w:ascii="Arial" w:hAnsi="Arial" w:cs="Arial"/>
            </w:rPr>
          </w:pPr>
          <w:r w:rsidRPr="006C67B5">
            <w:rPr>
              <w:rFonts w:ascii="Arial" w:hAnsi="Arial" w:cs="Arial"/>
            </w:rPr>
            <w:t>- zmniejsza się wydatki dotyczące zadań powiatu o 94.819,92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zgodnie z załącznikami nr 2/A i 2/B.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3. Dokonuje się zmian w planie dotacji na realizację zadań z zakresu administracji rządowej oraz innych zadań zleconych </w:t>
          </w:r>
          <w:r w:rsidRPr="006C67B5">
            <w:rPr>
              <w:rFonts w:ascii="Arial" w:hAnsi="Arial" w:cs="Arial"/>
              <w:sz w:val="24"/>
              <w:szCs w:val="24"/>
            </w:rPr>
            <w:t>ustawami zgodnie z załącznikami nr 3/A i 3/B.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4. Dokonuje się zmian w planie wydatków na realizację zadań z zakresu administracji rządowej oraz innych zadań zleconych ustawami, zgodnie z załącznikami nr 4/A i 4/B.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5. Dokonuje się zmian w planie dochodów i </w:t>
          </w:r>
          <w:r w:rsidRPr="006C67B5">
            <w:rPr>
              <w:rFonts w:ascii="Arial" w:hAnsi="Arial" w:cs="Arial"/>
              <w:sz w:val="24"/>
              <w:szCs w:val="24"/>
            </w:rPr>
            <w:t>wydatków związanych z realizacją zadań finansowanych z Funduszu Pomocy, zgodnie z załącznikiem nr 5.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6. Dokonuje się zmian w planie wydatków na nakłady inwestycyjne, zgodnie z załącznikiem nr 6.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7. Dokonuje się zmiany w planie dotacji dla podmiotów niezali</w:t>
          </w:r>
          <w:r w:rsidRPr="006C67B5">
            <w:rPr>
              <w:rFonts w:ascii="Arial" w:hAnsi="Arial" w:cs="Arial"/>
              <w:sz w:val="24"/>
              <w:szCs w:val="24"/>
            </w:rPr>
            <w:t>czanych do sektora finansów publicznych, zgodnie z załącznikami nr 7/A i 7/B.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lastRenderedPageBreak/>
            <w:t>8. Dokonuje się zmian wydatków związanych z gospodarowaniem odpadami komunalnymi, zgodnie z załącznikiem nr 8/A.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9. Plan wydatków na programy i projekty realizowane z udziałem śr</w:t>
          </w:r>
          <w:r w:rsidRPr="006C67B5">
            <w:rPr>
              <w:rFonts w:ascii="Arial" w:hAnsi="Arial" w:cs="Arial"/>
              <w:sz w:val="24"/>
              <w:szCs w:val="24"/>
            </w:rPr>
            <w:t>odków pochodzących z Unii Europejskiej, stanowiący załącznik nr 6 do Zarządzenia Nr 183 Prezydenta Miasta Piotrkowa Trybunalskiego z dnia 29 czerwca 2023 r. w sprawie zmiany budżetu miasta na rok 2023, otrzymuje brzmienie zgodne z załącznikiem nr 9.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§ 2. B</w:t>
          </w:r>
          <w:r w:rsidRPr="006C67B5">
            <w:rPr>
              <w:rFonts w:ascii="Arial" w:hAnsi="Arial" w:cs="Arial"/>
              <w:sz w:val="24"/>
              <w:szCs w:val="24"/>
            </w:rPr>
            <w:t>udżet Miasta po zmianach wynosi: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dochody 556.663.391,53 zł, w tym: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dochody dotyczące zadań gminy 395.846.154,64 zł, 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dochody bieżące 353.437.553,56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dochody majątkowe 42.408.601,08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dochody dotyczące zadań powiatu 160.817.236,89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dochody bieżące </w:t>
          </w:r>
          <w:r w:rsidRPr="006C67B5">
            <w:rPr>
              <w:rFonts w:ascii="Arial" w:hAnsi="Arial" w:cs="Arial"/>
              <w:sz w:val="24"/>
              <w:szCs w:val="24"/>
            </w:rPr>
            <w:t>157.334.973,08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dochody majątkowe 3.482.263,81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wydatki 661.513.666,91 zł, w tym: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wydatki dotyczące zadań gminy 475.789.706,93 zł, 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wydatki bieżące 360.646.020,54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wydatki majątkowe 115.143.686,39 zł,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wydatki dotyczące zadań powiatu 185.723.959,98</w:t>
          </w:r>
          <w:r w:rsidRPr="006C67B5">
            <w:rPr>
              <w:rFonts w:ascii="Arial" w:hAnsi="Arial" w:cs="Arial"/>
              <w:sz w:val="24"/>
              <w:szCs w:val="24"/>
            </w:rPr>
            <w:t xml:space="preserve"> zł, 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 xml:space="preserve">wydatki bieżące 163.094.537,89 zł, 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wydatki majątkowe 22.629.422,09 zł.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§ 3. 1. Rozwiązuje się rezerwę ogólną o kwotę 65.681,00 zł, która po zmianie wyniesie 862.743,98 zł.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2. Rozwiązuje się rezerwę celową na oświatę i edukacyjna opiekę wychowawczą o</w:t>
          </w:r>
          <w:r w:rsidRPr="006C67B5">
            <w:rPr>
              <w:rFonts w:ascii="Arial" w:hAnsi="Arial" w:cs="Arial"/>
              <w:sz w:val="24"/>
              <w:szCs w:val="24"/>
            </w:rPr>
            <w:t xml:space="preserve"> kwotę 1.438.575,00 zł, która po zmianie wyniesie 79.335,40 zł.</w:t>
          </w:r>
        </w:p>
        <w:p w:rsidR="006C67B5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3. Rozwiązuje się rezerwę celową na inwestycję o kwotę 43.692,00 zł, która po zmianie wyniesie 1.547.347,31 zł.</w:t>
          </w:r>
        </w:p>
        <w:p w:rsidR="0000187A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6C67B5">
            <w:rPr>
              <w:rFonts w:ascii="Arial" w:hAnsi="Arial" w:cs="Arial"/>
              <w:sz w:val="24"/>
              <w:szCs w:val="24"/>
            </w:rPr>
            <w:t>§ 4. Zarządzenie wchodzi w życie z dniem podpisania i podlega ogłoszeniu w Dzien</w:t>
          </w:r>
          <w:r w:rsidRPr="006C67B5">
            <w:rPr>
              <w:rFonts w:ascii="Arial" w:hAnsi="Arial" w:cs="Arial"/>
              <w:sz w:val="24"/>
              <w:szCs w:val="24"/>
            </w:rPr>
            <w:t>niku Urzędowym Województwa Łódzkiego oraz w Biuletynie Informacji Publicznej.</w:t>
          </w:r>
        </w:p>
        <w:p w:rsidR="0000187A" w:rsidRDefault="0000187A" w:rsidP="0000187A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:rsidR="0000187A" w:rsidRDefault="0000187A" w:rsidP="0000187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:rsidR="0000187A" w:rsidRDefault="0000187A" w:rsidP="0000187A">
          <w:pPr>
            <w:spacing w:after="0" w:line="360" w:lineRule="auto"/>
            <w:rPr>
              <w:sz w:val="28"/>
              <w:szCs w:val="28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  <w:p w:rsidR="00F22A10" w:rsidRPr="006C67B5" w:rsidRDefault="0000187A" w:rsidP="006C67B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bookmarkStart w:id="2" w:name="_GoBack" w:displacedByCustomXml="next"/>
        <w:bookmarkEnd w:id="2" w:displacedByCustomXml="next"/>
      </w:sdtContent>
    </w:sdt>
    <w:permEnd w:id="147918821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00187A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6C67B5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187A">
      <w:pPr>
        <w:spacing w:after="0" w:line="240" w:lineRule="auto"/>
      </w:pPr>
      <w:r>
        <w:separator/>
      </w:r>
    </w:p>
  </w:endnote>
  <w:endnote w:type="continuationSeparator" w:id="0">
    <w:p w:rsidR="00000000" w:rsidRDefault="0000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00187A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187A">
      <w:pPr>
        <w:spacing w:after="0" w:line="240" w:lineRule="auto"/>
      </w:pPr>
      <w:r>
        <w:separator/>
      </w:r>
    </w:p>
  </w:footnote>
  <w:footnote w:type="continuationSeparator" w:id="0">
    <w:p w:rsidR="00000000" w:rsidRDefault="0000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7A"/>
    <w:rsid w:val="000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E95D9-9CC6-41AD-9C10-3345A44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6C67B5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67B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6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177B43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0E8F-42F4-494E-B176-FA9C15D6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2023-07-13T11:53:00Z</dcterms:created>
  <dcterms:modified xsi:type="dcterms:W3CDTF">2023-07-13T11:53:00Z</dcterms:modified>
</cp:coreProperties>
</file>