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10" w:rsidRDefault="008B5F0F" w:rsidP="00E47F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6610">
        <w:rPr>
          <w:rFonts w:ascii="Arial" w:hAnsi="Arial" w:cs="Arial"/>
          <w:sz w:val="24"/>
          <w:szCs w:val="24"/>
        </w:rPr>
        <w:t>Uzasadnienie do projektu uchwały w</w:t>
      </w:r>
      <w:r w:rsidR="00C96610" w:rsidRPr="00C96610">
        <w:rPr>
          <w:rFonts w:ascii="Arial" w:hAnsi="Arial" w:cs="Arial"/>
          <w:sz w:val="24"/>
          <w:szCs w:val="24"/>
        </w:rPr>
        <w:t xml:space="preserve"> sprawie nabycia do zasobu gminnego niezabudowanej nieruchomości położonej w Piotrkowie Trybunalskim</w:t>
      </w:r>
      <w:r w:rsidR="00C96610" w:rsidRPr="00C96610">
        <w:rPr>
          <w:sz w:val="24"/>
          <w:szCs w:val="24"/>
        </w:rPr>
        <w:t xml:space="preserve"> </w:t>
      </w:r>
      <w:r w:rsidR="00C96610" w:rsidRPr="00C96610">
        <w:rPr>
          <w:rFonts w:ascii="Arial" w:hAnsi="Arial" w:cs="Arial"/>
          <w:sz w:val="24"/>
          <w:szCs w:val="24"/>
        </w:rPr>
        <w:t xml:space="preserve">przy ulicy Aleje 800-lecia Miasta Piotrkowa  Trybunalskiego </w:t>
      </w:r>
      <w:r w:rsidR="00402861">
        <w:rPr>
          <w:rFonts w:ascii="Arial" w:hAnsi="Arial" w:cs="Arial"/>
          <w:sz w:val="24"/>
          <w:szCs w:val="24"/>
        </w:rPr>
        <w:t>.</w:t>
      </w:r>
    </w:p>
    <w:p w:rsidR="00E47F0D" w:rsidRDefault="00E47F0D" w:rsidP="00E47F0D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47F0D" w:rsidRPr="00E47F0D" w:rsidRDefault="00E47F0D" w:rsidP="00E47F0D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47F0D">
        <w:rPr>
          <w:rFonts w:ascii="Arial" w:hAnsi="Arial" w:cs="Arial"/>
          <w:sz w:val="24"/>
          <w:szCs w:val="24"/>
        </w:rPr>
        <w:t>Działka oznaczona w ewidencji gruntów i budynków nr 52/7</w:t>
      </w:r>
      <w:r w:rsidR="00A6000D">
        <w:rPr>
          <w:rFonts w:ascii="Arial" w:hAnsi="Arial" w:cs="Arial"/>
          <w:sz w:val="24"/>
          <w:szCs w:val="24"/>
        </w:rPr>
        <w:t xml:space="preserve"> o powierzchni 0,0020 ha</w:t>
      </w:r>
      <w:r w:rsidRPr="00E47F0D">
        <w:rPr>
          <w:rFonts w:ascii="Arial" w:hAnsi="Arial" w:cs="Arial"/>
          <w:sz w:val="24"/>
          <w:szCs w:val="24"/>
        </w:rPr>
        <w:t>, obręb 27 położona w Piotrkowie Trybunalskim przy ulicy Aleje 800-lecia Miasta Piotrkowa  Trybunalskiego nie jest objęta miejscowym planem zagospodarowania przestrzennego Miasta Piotrkowa Trybunalskiego.</w:t>
      </w:r>
    </w:p>
    <w:p w:rsidR="00E47F0D" w:rsidRPr="00E47F0D" w:rsidRDefault="00E47F0D" w:rsidP="00E47F0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47F0D">
        <w:rPr>
          <w:rFonts w:ascii="Arial" w:hAnsi="Arial" w:cs="Arial"/>
          <w:sz w:val="24"/>
          <w:szCs w:val="24"/>
        </w:rPr>
        <w:t>Zgodnie ze Studium Uwarunkowań i Kierunków Zagospodarowania Przestrzennego Miasta Piotrkowa Trybunalskiego, przyjętym Uchwałą Nr XLIX/837/06 Rady Miasta Piotrkowa Trybunalskiego z dnia 09 marca 2006 r. ze zmianami przyjętymi  Uchwałą Nr XIV/297/11</w:t>
      </w:r>
      <w:r>
        <w:rPr>
          <w:rFonts w:ascii="Arial" w:hAnsi="Arial" w:cs="Arial"/>
          <w:sz w:val="24"/>
          <w:szCs w:val="24"/>
        </w:rPr>
        <w:t xml:space="preserve"> </w:t>
      </w:r>
      <w:r w:rsidRPr="00E47F0D">
        <w:rPr>
          <w:rFonts w:ascii="Arial" w:hAnsi="Arial" w:cs="Arial"/>
          <w:sz w:val="24"/>
          <w:szCs w:val="24"/>
        </w:rPr>
        <w:t xml:space="preserve">z dnia 30 listopada 2011r., Uchwałą Nr XXVII/359/16 z dnia 26 października 2016r. i Uchwałą Nr XLVII/566/17 z dnia 25 października 2017r. znajduje się w terenie oznaczonym symbolem ZP,  tj.: zieleń parkowa, skwery. </w:t>
      </w:r>
    </w:p>
    <w:p w:rsidR="00E47F0D" w:rsidRPr="00E47F0D" w:rsidRDefault="00E47F0D" w:rsidP="00E47F0D">
      <w:pPr>
        <w:spacing w:after="120" w:line="360" w:lineRule="auto"/>
        <w:ind w:left="19"/>
        <w:jc w:val="both"/>
        <w:rPr>
          <w:rFonts w:ascii="Arial" w:hAnsi="Arial" w:cs="Arial"/>
          <w:sz w:val="24"/>
          <w:szCs w:val="24"/>
        </w:rPr>
      </w:pPr>
      <w:r w:rsidRPr="00E47F0D">
        <w:rPr>
          <w:rFonts w:ascii="Arial" w:hAnsi="Arial" w:cs="Arial"/>
          <w:sz w:val="24"/>
          <w:szCs w:val="24"/>
        </w:rPr>
        <w:t>Właściciel przedmiotowej nieruchomości wystąpił z wnioskiem o jej nabycie do zasobu gminnego.</w:t>
      </w:r>
    </w:p>
    <w:p w:rsidR="00E47F0D" w:rsidRPr="00E47F0D" w:rsidRDefault="00E47F0D" w:rsidP="00E47F0D">
      <w:pPr>
        <w:spacing w:after="120" w:line="360" w:lineRule="auto"/>
        <w:ind w:left="19"/>
        <w:jc w:val="both"/>
        <w:rPr>
          <w:rFonts w:ascii="Arial" w:hAnsi="Arial" w:cs="Arial"/>
          <w:sz w:val="24"/>
          <w:szCs w:val="24"/>
        </w:rPr>
      </w:pPr>
      <w:r w:rsidRPr="00E47F0D">
        <w:rPr>
          <w:rFonts w:ascii="Arial" w:hAnsi="Arial" w:cs="Arial"/>
          <w:sz w:val="24"/>
          <w:szCs w:val="24"/>
        </w:rPr>
        <w:t>Stan prawny nieruchomości jest uregulowany – działka ma założoną księgę wieczystą.</w:t>
      </w:r>
    </w:p>
    <w:p w:rsidR="00B053F7" w:rsidRDefault="00E47F0D" w:rsidP="00E47F0D">
      <w:pPr>
        <w:spacing w:after="120" w:line="360" w:lineRule="auto"/>
        <w:ind w:left="19"/>
        <w:jc w:val="both"/>
        <w:rPr>
          <w:rFonts w:ascii="Arial" w:hAnsi="Arial" w:cs="Arial"/>
          <w:sz w:val="24"/>
          <w:szCs w:val="24"/>
        </w:rPr>
      </w:pPr>
      <w:r w:rsidRPr="00E47F0D">
        <w:rPr>
          <w:rFonts w:ascii="Arial" w:hAnsi="Arial" w:cs="Arial"/>
          <w:sz w:val="24"/>
          <w:szCs w:val="24"/>
        </w:rPr>
        <w:t>Zarząd Dróg i Utrzymania Miasta zaopiniował pozytywnie nabycie do zasobu gminnego działk</w:t>
      </w:r>
      <w:r w:rsidR="00B053F7">
        <w:rPr>
          <w:rFonts w:ascii="Arial" w:hAnsi="Arial" w:cs="Arial"/>
          <w:sz w:val="24"/>
          <w:szCs w:val="24"/>
        </w:rPr>
        <w:t>i</w:t>
      </w:r>
      <w:r w:rsidRPr="00E47F0D">
        <w:rPr>
          <w:rFonts w:ascii="Arial" w:hAnsi="Arial" w:cs="Arial"/>
          <w:sz w:val="24"/>
          <w:szCs w:val="24"/>
        </w:rPr>
        <w:t xml:space="preserve"> nr  52/7, obręb 27 jako niezbędn</w:t>
      </w:r>
      <w:r w:rsidR="00B053F7">
        <w:rPr>
          <w:rFonts w:ascii="Arial" w:hAnsi="Arial" w:cs="Arial"/>
          <w:sz w:val="24"/>
          <w:szCs w:val="24"/>
        </w:rPr>
        <w:t>ej</w:t>
      </w:r>
      <w:r w:rsidRPr="00E47F0D">
        <w:rPr>
          <w:rFonts w:ascii="Arial" w:hAnsi="Arial" w:cs="Arial"/>
          <w:sz w:val="24"/>
          <w:szCs w:val="24"/>
        </w:rPr>
        <w:t xml:space="preserve"> do bieżącego utrzymania rzeki Strawy do czego zostało zobowiązane miasto Piotrków Trybunalski w oparciu </w:t>
      </w:r>
      <w:r w:rsidR="00B053F7">
        <w:rPr>
          <w:rFonts w:ascii="Arial" w:hAnsi="Arial" w:cs="Arial"/>
          <w:sz w:val="24"/>
          <w:szCs w:val="24"/>
        </w:rPr>
        <w:t xml:space="preserve">                          </w:t>
      </w:r>
      <w:r w:rsidRPr="00E47F0D">
        <w:rPr>
          <w:rFonts w:ascii="Arial" w:hAnsi="Arial" w:cs="Arial"/>
          <w:sz w:val="24"/>
          <w:szCs w:val="24"/>
        </w:rPr>
        <w:t xml:space="preserve">o wydane decyzje wodnoprawne. </w:t>
      </w:r>
    </w:p>
    <w:p w:rsidR="00E47F0D" w:rsidRPr="00E47F0D" w:rsidRDefault="00E47F0D" w:rsidP="00B053F7">
      <w:pPr>
        <w:spacing w:after="120" w:line="360" w:lineRule="auto"/>
        <w:ind w:left="19"/>
        <w:jc w:val="both"/>
        <w:rPr>
          <w:rFonts w:ascii="Arial" w:hAnsi="Arial" w:cs="Arial"/>
          <w:sz w:val="24"/>
          <w:szCs w:val="24"/>
        </w:rPr>
      </w:pPr>
      <w:r w:rsidRPr="00E47F0D">
        <w:rPr>
          <w:rFonts w:ascii="Arial" w:hAnsi="Arial" w:cs="Arial"/>
          <w:sz w:val="24"/>
          <w:szCs w:val="24"/>
        </w:rPr>
        <w:t>Mając na uwadze ustalenia Studium Uwarunkowań i Kierunków Zagospodarowania Przestrzennego Miasta Piotrkowa Trybunalskiego</w:t>
      </w:r>
      <w:r w:rsidR="00A6000D">
        <w:rPr>
          <w:rFonts w:ascii="Arial" w:hAnsi="Arial" w:cs="Arial"/>
          <w:sz w:val="24"/>
          <w:szCs w:val="24"/>
        </w:rPr>
        <w:t>,</w:t>
      </w:r>
      <w:r w:rsidRPr="00E47F0D">
        <w:rPr>
          <w:rFonts w:ascii="Arial" w:hAnsi="Arial" w:cs="Arial"/>
          <w:sz w:val="24"/>
          <w:szCs w:val="24"/>
        </w:rPr>
        <w:t xml:space="preserve"> </w:t>
      </w:r>
      <w:r w:rsidR="00B053F7" w:rsidRPr="00E47F0D">
        <w:rPr>
          <w:rFonts w:ascii="Arial" w:hAnsi="Arial" w:cs="Arial"/>
          <w:sz w:val="24"/>
          <w:szCs w:val="24"/>
        </w:rPr>
        <w:t>sąsiedztwo działek będących własnością miasta</w:t>
      </w:r>
      <w:r w:rsidR="00A6000D">
        <w:rPr>
          <w:rFonts w:ascii="Arial" w:hAnsi="Arial" w:cs="Arial"/>
          <w:sz w:val="24"/>
          <w:szCs w:val="24"/>
        </w:rPr>
        <w:t>, a także konieczność zapewnienia dostępu do rzeki Strawy celem bieżącego jej utrzymania -</w:t>
      </w:r>
      <w:r w:rsidR="00B053F7" w:rsidRPr="00E47F0D">
        <w:rPr>
          <w:rFonts w:ascii="Arial" w:hAnsi="Arial" w:cs="Arial"/>
          <w:sz w:val="24"/>
          <w:szCs w:val="24"/>
        </w:rPr>
        <w:t xml:space="preserve"> zasadnym </w:t>
      </w:r>
      <w:r w:rsidR="00A6000D">
        <w:rPr>
          <w:rFonts w:ascii="Arial" w:hAnsi="Arial" w:cs="Arial"/>
          <w:sz w:val="24"/>
          <w:szCs w:val="24"/>
        </w:rPr>
        <w:t>jest</w:t>
      </w:r>
      <w:r w:rsidR="00B053F7" w:rsidRPr="00E47F0D">
        <w:rPr>
          <w:rFonts w:ascii="Arial" w:hAnsi="Arial" w:cs="Arial"/>
          <w:sz w:val="24"/>
          <w:szCs w:val="24"/>
        </w:rPr>
        <w:t xml:space="preserve"> nabycie do zasobu gminnego Miasta Piotrkowa Trybunalskiego  działki nr 52/7, obręb 27</w:t>
      </w:r>
      <w:r w:rsidR="00A6000D">
        <w:rPr>
          <w:rFonts w:ascii="Arial" w:hAnsi="Arial" w:cs="Arial"/>
          <w:sz w:val="24"/>
          <w:szCs w:val="24"/>
        </w:rPr>
        <w:t>.</w:t>
      </w:r>
      <w:r w:rsidRPr="00E47F0D">
        <w:rPr>
          <w:rFonts w:ascii="Arial" w:hAnsi="Arial" w:cs="Arial"/>
          <w:sz w:val="24"/>
          <w:szCs w:val="24"/>
        </w:rPr>
        <w:t xml:space="preserve"> </w:t>
      </w:r>
    </w:p>
    <w:p w:rsidR="00C60695" w:rsidRDefault="00C60695" w:rsidP="00C6069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Rozpatrując powyższą sprawę Prezydent Miasta Piotrkowa Trybunalskiego uznał za</w:t>
      </w:r>
      <w:r w:rsidR="004569E6">
        <w:rPr>
          <w:rFonts w:ascii="Arial" w:hAnsi="Arial" w:cs="Arial"/>
          <w:bCs/>
          <w:sz w:val="24"/>
          <w:szCs w:val="24"/>
        </w:rPr>
        <w:t> </w:t>
      </w:r>
      <w:r>
        <w:rPr>
          <w:rFonts w:ascii="Arial" w:hAnsi="Arial" w:cs="Arial"/>
          <w:bCs/>
          <w:sz w:val="24"/>
          <w:szCs w:val="24"/>
        </w:rPr>
        <w:t>zasadne nabycie do zasobu gminnego w/w nieruchomości.</w:t>
      </w:r>
    </w:p>
    <w:p w:rsidR="00C60695" w:rsidRDefault="00C60695" w:rsidP="00C6069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60695" w:rsidRDefault="00C60695" w:rsidP="00C60695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przyjął przygotowany w sprawie projekt uchwały i zdecydował przekazać go</w:t>
      </w:r>
      <w:r w:rsidR="004569E6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pod obrady Rady Miasta, po uprzednim zaopiniowaniu przez właściwe komisje problemowe.</w:t>
      </w:r>
    </w:p>
    <w:p w:rsidR="00E47F0D" w:rsidRPr="00E47F0D" w:rsidRDefault="00E47F0D" w:rsidP="00C60695">
      <w:pPr>
        <w:spacing w:line="360" w:lineRule="auto"/>
        <w:jc w:val="both"/>
        <w:rPr>
          <w:sz w:val="24"/>
          <w:szCs w:val="24"/>
        </w:rPr>
      </w:pPr>
    </w:p>
    <w:sectPr w:rsidR="00E47F0D" w:rsidRPr="00E4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0E92"/>
    <w:multiLevelType w:val="hybridMultilevel"/>
    <w:tmpl w:val="F11A0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3090B"/>
    <w:multiLevelType w:val="hybridMultilevel"/>
    <w:tmpl w:val="28280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C46720"/>
    <w:multiLevelType w:val="hybridMultilevel"/>
    <w:tmpl w:val="8E0A97EC"/>
    <w:lvl w:ilvl="0" w:tplc="D2F24488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D75B94E-1FEA-4D46-8EF3-9A88036B14B0}"/>
  </w:docVars>
  <w:rsids>
    <w:rsidRoot w:val="003F671F"/>
    <w:rsid w:val="00057565"/>
    <w:rsid w:val="0007682F"/>
    <w:rsid w:val="00152ACC"/>
    <w:rsid w:val="0019610E"/>
    <w:rsid w:val="00216FC7"/>
    <w:rsid w:val="002310F3"/>
    <w:rsid w:val="00292AE3"/>
    <w:rsid w:val="002B57DE"/>
    <w:rsid w:val="002B5AF3"/>
    <w:rsid w:val="002C232D"/>
    <w:rsid w:val="002D378D"/>
    <w:rsid w:val="0030383E"/>
    <w:rsid w:val="00334CFA"/>
    <w:rsid w:val="003C4FCA"/>
    <w:rsid w:val="003D6D00"/>
    <w:rsid w:val="003F671F"/>
    <w:rsid w:val="00401CD5"/>
    <w:rsid w:val="00402861"/>
    <w:rsid w:val="00455614"/>
    <w:rsid w:val="004569E6"/>
    <w:rsid w:val="004C21F5"/>
    <w:rsid w:val="004D0463"/>
    <w:rsid w:val="004E5555"/>
    <w:rsid w:val="005228E8"/>
    <w:rsid w:val="00523E25"/>
    <w:rsid w:val="005D070F"/>
    <w:rsid w:val="006003F9"/>
    <w:rsid w:val="0066390F"/>
    <w:rsid w:val="0069576D"/>
    <w:rsid w:val="006B1A4E"/>
    <w:rsid w:val="006C4CA3"/>
    <w:rsid w:val="006D7B02"/>
    <w:rsid w:val="007267DA"/>
    <w:rsid w:val="007823B3"/>
    <w:rsid w:val="00784AA8"/>
    <w:rsid w:val="007D2F29"/>
    <w:rsid w:val="008141CB"/>
    <w:rsid w:val="00815A99"/>
    <w:rsid w:val="00847BE3"/>
    <w:rsid w:val="008B5F0F"/>
    <w:rsid w:val="008D70C6"/>
    <w:rsid w:val="008F0EA3"/>
    <w:rsid w:val="00957BC7"/>
    <w:rsid w:val="009F3041"/>
    <w:rsid w:val="009F72EC"/>
    <w:rsid w:val="00A6000D"/>
    <w:rsid w:val="00A901F3"/>
    <w:rsid w:val="00B053F7"/>
    <w:rsid w:val="00B22E58"/>
    <w:rsid w:val="00B75A77"/>
    <w:rsid w:val="00B75AC8"/>
    <w:rsid w:val="00BB1DFE"/>
    <w:rsid w:val="00BB1E3D"/>
    <w:rsid w:val="00C60695"/>
    <w:rsid w:val="00C96610"/>
    <w:rsid w:val="00CA1C39"/>
    <w:rsid w:val="00CB5921"/>
    <w:rsid w:val="00D26CEC"/>
    <w:rsid w:val="00D74B84"/>
    <w:rsid w:val="00D85FD2"/>
    <w:rsid w:val="00D87A93"/>
    <w:rsid w:val="00DF14B3"/>
    <w:rsid w:val="00E4271E"/>
    <w:rsid w:val="00E47F0D"/>
    <w:rsid w:val="00E83B41"/>
    <w:rsid w:val="00EC092B"/>
    <w:rsid w:val="00ED2E65"/>
    <w:rsid w:val="00ED390E"/>
    <w:rsid w:val="00F004B7"/>
    <w:rsid w:val="00F136CA"/>
    <w:rsid w:val="00F32BDC"/>
    <w:rsid w:val="00FE52FC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CBFD-FC50-4CF1-B6B9-4E7AB63F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07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D07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5D070F"/>
    <w:pPr>
      <w:tabs>
        <w:tab w:val="center" w:pos="4536"/>
        <w:tab w:val="right" w:pos="9072"/>
      </w:tabs>
      <w:spacing w:line="360" w:lineRule="auto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5D07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BD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228E8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CB5921"/>
    <w:pPr>
      <w:spacing w:after="120" w:line="360" w:lineRule="auto"/>
      <w:ind w:left="283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59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75B94E-1FEA-4D46-8EF3-9A88036B14B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Kacperek Andrzej</cp:lastModifiedBy>
  <cp:revision>10</cp:revision>
  <cp:lastPrinted>2023-04-17T08:27:00Z</cp:lastPrinted>
  <dcterms:created xsi:type="dcterms:W3CDTF">2023-04-17T07:12:00Z</dcterms:created>
  <dcterms:modified xsi:type="dcterms:W3CDTF">2023-05-08T12:24:00Z</dcterms:modified>
</cp:coreProperties>
</file>