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603" w:rsidRPr="00D61603" w:rsidRDefault="00D61603" w:rsidP="00D61603">
      <w:pPr>
        <w:jc w:val="right"/>
      </w:pPr>
      <w:r w:rsidRPr="00D61603">
        <w:t xml:space="preserve">Załącznik do zarządzenia Nr </w:t>
      </w:r>
      <w:sdt>
        <w:sdtPr>
          <w:id w:val="-564801218"/>
          <w:placeholder>
            <w:docPart w:val="0ED738ED89744C4E95D64BBAC72B8922"/>
          </w:placeholder>
          <w:text/>
        </w:sdtPr>
        <w:sdtEndPr/>
        <w:sdtContent>
          <w:r w:rsidRPr="00D61603">
            <w:t>124</w:t>
          </w:r>
        </w:sdtContent>
      </w:sdt>
      <w:r w:rsidRPr="00D61603">
        <w:br/>
        <w:t>Prezydenta Miasta Piotrkowa Trybunalskiego</w:t>
      </w:r>
      <w:r w:rsidRPr="00D61603">
        <w:br/>
        <w:t xml:space="preserve">z dnia </w:t>
      </w:r>
      <w:bookmarkStart w:id="0" w:name="ezdDataPodpisu"/>
      <w:bookmarkEnd w:id="0"/>
      <w:r w:rsidRPr="00D61603">
        <w:t xml:space="preserve"> </w:t>
      </w:r>
      <w:r>
        <w:t xml:space="preserve">16 maja 2023 </w:t>
      </w:r>
      <w:r w:rsidRPr="00D61603">
        <w:t>roku</w:t>
      </w:r>
    </w:p>
    <w:p w:rsidR="00D61603" w:rsidRPr="00D61603" w:rsidRDefault="00D61603" w:rsidP="00D61603">
      <w:pPr>
        <w:rPr>
          <w:b/>
          <w:bCs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F608F4FEEE304895AFB98B71EA0CDA0F"/>
        </w:placeholder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Na podstawie art. 30 ust. 1 ustawy z dnia 8 marca 1990 roku o samorządzie gminnym (Dz. U. z 2023 r. poz. 40 z późn. zm.), art. 4 ust. 1 pkt 15, art. 11 ust. 1 pkt 1 i ust. 2, art. 13 ustawy z dnia 24 kwietnia 2003 roku o działalności pożytku publicznego i o wolontariacie (Dz. U. z 2023, poz. 571), ustawy z dnia 26 października 1982 roku o wychowaniu w trzeźwości i przeciwdziałaniu alkoholizmowi (Dz. U. z 2023 r., poz. 165 z późn. zm.), uchwały LVII/725/22 Rady Miasta Piotrkowa Trybunalskiego z dnia 30 listopada 2022 roku w sprawie Programu Współpracy Miasta Piotrkowa Trybunalskiego z organizacjami pozarządowymi oraz podmiotami, o których mowa w art. 3 ust. 3 ustawy z dnia 24 kwietnia 2003 roku o działalności pożytku publicznego i o wolontariacie, na rok 2023, uchwały Nr LVIII/732/22 Rady Miasta Piotrkowa Trybunalskiego z dnia 21 grudnia 2022 roku w sprawie uchwały budżetowej Miasta na 2023 rok oraz uchwały Nr LXIII/784/23 z dnia 26 kwietnia 2023 rok w sprawie zmiany budżetu na rok 2023.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PREZYDENT MIASTA PIOTRKOWA TRYBUNALSKIEGO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ogłasza otwarty konkurs ofert na wsparcie realizacji zadania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publicznego Miasta Piotrkowa Trybunalskiego z zakresu przeciwdziałania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patologiom społecznym w 2023 roku pod nazwą „Organizacja wypoczynku letniego – kolonii oraz obozów profilaktycznych dla dzieci i młodzieży z terenu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Miasta Piotrkowa Trybunalskiego”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W otwartym konkursie ofert mogą uczestniczyć podmioty, o których mowa </w:t>
          </w:r>
          <w:r w:rsidRPr="00D61603">
            <w:rPr>
              <w:rFonts w:ascii="Arial" w:hAnsi="Arial" w:cs="Arial"/>
              <w:sz w:val="24"/>
              <w:szCs w:val="24"/>
            </w:rPr>
            <w:br/>
            <w:t>w ustawie z dnia 24 kwietnia 2003 roku o działalności pożytku publicznego i o wolontariacie (Dz. U. z 2023 r., poz. 571), a mianowicie:</w:t>
          </w:r>
        </w:p>
        <w:p w:rsidR="00D61603" w:rsidRPr="00D61603" w:rsidRDefault="00D61603" w:rsidP="00D61603">
          <w:pPr>
            <w:numPr>
              <w:ilvl w:val="0"/>
              <w:numId w:val="1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organizacje pozarządowe prowadzące działalność pożytku publicznego,</w:t>
          </w:r>
        </w:p>
        <w:p w:rsidR="00D61603" w:rsidRPr="00D61603" w:rsidRDefault="00D61603" w:rsidP="00D61603">
          <w:pPr>
            <w:numPr>
              <w:ilvl w:val="0"/>
              <w:numId w:val="1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podmioty wymienione w art. 3 ust. 3 ustawy o działalności pożytku publicznego i o wolontariacie.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350"/>
            <w:gridCol w:w="8712"/>
          </w:tblGrid>
          <w:tr w:rsidR="00D61603" w:rsidRPr="00D61603" w:rsidTr="00595626">
            <w:tc>
              <w:tcPr>
                <w:tcW w:w="250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I.</w:t>
                </w:r>
              </w:p>
            </w:tc>
            <w:tc>
              <w:tcPr>
                <w:tcW w:w="8960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Zadanie i wysokość środków finansowych przeznaczonych na jego realizację:</w:t>
                </w:r>
              </w:p>
            </w:tc>
          </w:tr>
        </w:tbl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387"/>
            <w:gridCol w:w="6958"/>
            <w:gridCol w:w="1717"/>
          </w:tblGrid>
          <w:tr w:rsidR="00D61603" w:rsidRPr="00D61603" w:rsidTr="00595626">
            <w:tc>
              <w:tcPr>
                <w:tcW w:w="392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7087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Organizacja wypoczynku letniego dla dzieci i młodzieży – kolonii oraz obozów profilaktycznych dla dzieci i młodzieży z rodzin alkoholowych i dotkniętych przemocą domową z terenu Miasta Piotrkowa Trybunalskiego.</w:t>
                </w:r>
              </w:p>
            </w:tc>
            <w:tc>
              <w:tcPr>
                <w:tcW w:w="1733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190.000 zł</w:t>
                </w:r>
              </w:p>
            </w:tc>
          </w:tr>
        </w:tbl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417"/>
            <w:gridCol w:w="8645"/>
          </w:tblGrid>
          <w:tr w:rsidR="00D61603" w:rsidRPr="00D61603" w:rsidTr="00595626">
            <w:tc>
              <w:tcPr>
                <w:tcW w:w="393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II.</w:t>
                </w:r>
              </w:p>
            </w:tc>
            <w:tc>
              <w:tcPr>
                <w:tcW w:w="8669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Zasady przyznawania dotacji:</w:t>
                </w:r>
              </w:p>
            </w:tc>
          </w:tr>
        </w:tbl>
        <w:p w:rsidR="00D61603" w:rsidRPr="00D61603" w:rsidRDefault="00D61603" w:rsidP="00D61603">
          <w:pPr>
            <w:numPr>
              <w:ilvl w:val="0"/>
              <w:numId w:val="4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Dotację mogą uzyskać podmioty, które:</w:t>
          </w:r>
        </w:p>
        <w:p w:rsidR="00D61603" w:rsidRPr="00D61603" w:rsidRDefault="00D61603" w:rsidP="00D61603">
          <w:pPr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spełniły wymogi i inne warunki określone w ogłoszeniu i regulaminie otwartego konkursu ofert na realizację zadania,</w:t>
          </w:r>
        </w:p>
        <w:p w:rsidR="00D61603" w:rsidRPr="00D61603" w:rsidRDefault="00D61603" w:rsidP="00D61603">
          <w:pPr>
            <w:numPr>
              <w:ilvl w:val="0"/>
              <w:numId w:val="5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otrzymały pozytywną opinię i zostały wyłonione w postępowaniu konkursowym.</w:t>
          </w:r>
        </w:p>
        <w:p w:rsidR="00D61603" w:rsidRPr="00D61603" w:rsidRDefault="00D61603" w:rsidP="00D61603">
          <w:pPr>
            <w:numPr>
              <w:ilvl w:val="0"/>
              <w:numId w:val="4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Z dotacji można sfinansować następujące koszty:</w:t>
          </w:r>
        </w:p>
        <w:p w:rsidR="00D61603" w:rsidRPr="00D61603" w:rsidRDefault="00D61603" w:rsidP="00D61603">
          <w:pPr>
            <w:numPr>
              <w:ilvl w:val="0"/>
              <w:numId w:val="6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koszty zakwaterowania i wyżywienia uczestników wypoczynku,</w:t>
          </w:r>
        </w:p>
        <w:p w:rsidR="00D61603" w:rsidRPr="00D61603" w:rsidRDefault="00D61603" w:rsidP="00D61603">
          <w:pPr>
            <w:numPr>
              <w:ilvl w:val="0"/>
              <w:numId w:val="6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koszty rzeczowe np. zakup biletów wstępu, nagród, środków higienicznych i socjalnych, materiałów potrzebnych do realizacji zadania, koszty ubezpieczenia,</w:t>
          </w:r>
        </w:p>
        <w:p w:rsidR="00D61603" w:rsidRPr="00D61603" w:rsidRDefault="00D61603" w:rsidP="00D61603">
          <w:pPr>
            <w:numPr>
              <w:ilvl w:val="0"/>
              <w:numId w:val="6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zakup usług (transport, wycieczki, wypożyczenie sprzętu itp.),</w:t>
          </w:r>
        </w:p>
        <w:p w:rsidR="00D61603" w:rsidRPr="00D61603" w:rsidRDefault="00D61603" w:rsidP="00D61603">
          <w:pPr>
            <w:numPr>
              <w:ilvl w:val="0"/>
              <w:numId w:val="6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koszty administracyjne (koszty telekomunikacyjne, zakup materiałów biurowych – w części dotyczącej realizacji zadania).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Look w:val="04A0" w:firstRow="1" w:lastRow="0" w:firstColumn="1" w:lastColumn="0" w:noHBand="0" w:noVBand="1"/>
          </w:tblPr>
          <w:tblGrid>
            <w:gridCol w:w="534"/>
            <w:gridCol w:w="8676"/>
          </w:tblGrid>
          <w:tr w:rsidR="00D61603" w:rsidRPr="00D61603" w:rsidTr="00595626">
            <w:tc>
              <w:tcPr>
                <w:tcW w:w="534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III.</w:t>
                </w:r>
              </w:p>
            </w:tc>
            <w:tc>
              <w:tcPr>
                <w:tcW w:w="8676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Terminy i warunki realizacji zadania:</w:t>
                </w:r>
              </w:p>
            </w:tc>
          </w:tr>
        </w:tbl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p w:rsidR="00D61603" w:rsidRPr="00D61603" w:rsidRDefault="00D61603" w:rsidP="00D61603">
          <w:pPr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Podmiot zobowiązuje się do realizacji zadania w terminie od 26 czerwca 2023 roku do 31 sierpnia 2023 roku. </w:t>
          </w:r>
        </w:p>
        <w:p w:rsidR="00D61603" w:rsidRPr="00D61603" w:rsidRDefault="00D61603" w:rsidP="00D61603">
          <w:pPr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Dofinansowaniu podlegać będą następujące formy wypoczynku: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a) wypoczynek poza miejscem zamieszkania dzieci i młodzieży trwający minimum 7 dni (6 noclegów),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b) wypoczynek w miejscu zamieszkania trwający minimum 14 dni.</w:t>
          </w:r>
        </w:p>
        <w:p w:rsidR="00D61603" w:rsidRPr="00D61603" w:rsidRDefault="00D61603" w:rsidP="00D61603">
          <w:pPr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Z wypoczynku dofinansowanego przez Miasto Piotrków Trybunalski mogą skorzystać dzieci i młodzież w wieku do ukończenia 18 roku życia zamieszkałe na terenie Miasta Piotrkowa Trybunalskiego. </w:t>
          </w:r>
        </w:p>
        <w:p w:rsidR="00D61603" w:rsidRPr="00D61603" w:rsidRDefault="00D61603" w:rsidP="00D61603">
          <w:pPr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Na potrzeby kontroli realizacji zadania przez upoważnionych pracowników Urzędu Miasta Piotrkowa Trybunalskiego, organizator jest zobowiązany posiadać listę uczestników wypoczynku wraz z numerem PESEL oraz telefonem kontaktowym do opiekunów prawnych.</w:t>
          </w:r>
        </w:p>
        <w:p w:rsidR="00D61603" w:rsidRPr="00D61603" w:rsidRDefault="00D61603" w:rsidP="00D61603">
          <w:pPr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Ustalenie miejsca zamieszkania dzieci następuje na podstawie danych zawartych w oświadczeniu ich opiekunów prawnych zweryfikowanych przez organizatora wypoczynku. </w:t>
          </w:r>
        </w:p>
        <w:p w:rsidR="00D61603" w:rsidRPr="00D61603" w:rsidRDefault="00D61603" w:rsidP="00D61603">
          <w:pPr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Obiekt lub teren przeznaczony na wypoczynek musi spełniać wymogi dotyczące:</w:t>
          </w:r>
        </w:p>
        <w:p w:rsidR="00D61603" w:rsidRPr="00D61603" w:rsidRDefault="00D61603" w:rsidP="00D61603">
          <w:pPr>
            <w:numPr>
              <w:ilvl w:val="0"/>
              <w:numId w:val="8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bezpieczeństwa,</w:t>
          </w:r>
        </w:p>
        <w:p w:rsidR="00D61603" w:rsidRPr="00D61603" w:rsidRDefault="00D61603" w:rsidP="00D61603">
          <w:pPr>
            <w:numPr>
              <w:ilvl w:val="0"/>
              <w:numId w:val="8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lastRenderedPageBreak/>
            <w:t>ochrony przeciwpożarowej,</w:t>
          </w:r>
        </w:p>
        <w:p w:rsidR="00D61603" w:rsidRPr="00D61603" w:rsidRDefault="00D61603" w:rsidP="00D61603">
          <w:pPr>
            <w:numPr>
              <w:ilvl w:val="0"/>
              <w:numId w:val="8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warunków higieniczno- sanitarnych,</w:t>
          </w:r>
        </w:p>
        <w:p w:rsidR="00D61603" w:rsidRPr="00D61603" w:rsidRDefault="00D61603" w:rsidP="00D61603">
          <w:pPr>
            <w:numPr>
              <w:ilvl w:val="0"/>
              <w:numId w:val="8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ochrony środowiska.</w:t>
          </w:r>
        </w:p>
        <w:p w:rsidR="00D61603" w:rsidRPr="00D61603" w:rsidRDefault="00D61603" w:rsidP="00D61603">
          <w:pPr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Oferent podczas wypoczynku zapewni uczestnikom:</w:t>
          </w:r>
        </w:p>
        <w:p w:rsidR="00D61603" w:rsidRPr="00D61603" w:rsidRDefault="00D61603" w:rsidP="00D61603">
          <w:pPr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transport i zakwaterowanie,</w:t>
          </w:r>
        </w:p>
        <w:p w:rsidR="00D61603" w:rsidRPr="00D61603" w:rsidRDefault="00D61603" w:rsidP="00D61603">
          <w:pPr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ubezpieczenie,</w:t>
          </w:r>
        </w:p>
        <w:p w:rsidR="00D61603" w:rsidRPr="00D61603" w:rsidRDefault="00D61603" w:rsidP="00D61603">
          <w:pPr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minimum 3 posiłki i napoje codziennie,</w:t>
          </w:r>
        </w:p>
        <w:p w:rsidR="00D61603" w:rsidRPr="00D61603" w:rsidRDefault="00D61603" w:rsidP="00D61603">
          <w:pPr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realizację odpowiedniego programu profilaktycznego dot. uzależnienia od alkoholu i narkotyków,</w:t>
          </w:r>
        </w:p>
        <w:p w:rsidR="00D61603" w:rsidRPr="00D61603" w:rsidRDefault="00D61603" w:rsidP="00D61603">
          <w:pPr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opiekę wykwalifikowanej kadry,</w:t>
          </w:r>
        </w:p>
        <w:p w:rsidR="00D61603" w:rsidRPr="00D61603" w:rsidRDefault="00D61603" w:rsidP="00D61603">
          <w:pPr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opiekę medyczną w razie konieczności.</w:t>
          </w:r>
        </w:p>
        <w:p w:rsidR="00D61603" w:rsidRPr="00D61603" w:rsidRDefault="00D61603" w:rsidP="00D61603">
          <w:pPr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Zadanie powinno być realizowane z najwyższą starannością, zgodnie </w:t>
          </w:r>
          <w:r w:rsidRPr="00D61603">
            <w:rPr>
              <w:rFonts w:ascii="Arial" w:hAnsi="Arial" w:cs="Arial"/>
              <w:sz w:val="24"/>
              <w:szCs w:val="24"/>
            </w:rPr>
            <w:br/>
            <w:t>z zawartymi umowami oraz obowiązującymi standardami i przepisami prawa.</w:t>
          </w:r>
        </w:p>
        <w:p w:rsidR="00D61603" w:rsidRPr="00D61603" w:rsidRDefault="00D61603" w:rsidP="00D61603">
          <w:pPr>
            <w:numPr>
              <w:ilvl w:val="0"/>
              <w:numId w:val="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W trakcie realizacji zadania, w ramach prowadzonego nadzoru merytorycznego zwraca się szczególną uwagę na:</w:t>
          </w:r>
        </w:p>
        <w:p w:rsidR="00D61603" w:rsidRPr="00D61603" w:rsidRDefault="00D61603" w:rsidP="00D61603">
          <w:pPr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wykorzystanie przyznanych kwot dotacji zgodnie z przeznaczeniem oraz z zapisami umów stanowiących podstawę przekazania dotacji,</w:t>
          </w:r>
        </w:p>
        <w:p w:rsidR="00D61603" w:rsidRPr="00D61603" w:rsidRDefault="00D61603" w:rsidP="00D61603">
          <w:pPr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prawidłowe, rzetelne oraz terminowe sporządzanie sprawozdań finansowych i merytorycznych,</w:t>
          </w:r>
        </w:p>
        <w:p w:rsidR="00D61603" w:rsidRPr="00D61603" w:rsidRDefault="00D61603" w:rsidP="00D61603">
          <w:pPr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oszczędne i celowe wydatkowanie przyznanych środków finansowych,</w:t>
          </w:r>
        </w:p>
        <w:p w:rsidR="00D61603" w:rsidRPr="00D61603" w:rsidRDefault="00D61603" w:rsidP="00D61603">
          <w:pPr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realizację programu socjoterapeutycznego podczas pobytu dzieci na wypoczynku.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11. Organizator wypoczynku ma obowiązek zgłoszenia do Kuratorium Oświaty organizacji wypoczynku.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534"/>
            <w:gridCol w:w="8528"/>
          </w:tblGrid>
          <w:tr w:rsidR="00D61603" w:rsidRPr="00D61603" w:rsidTr="00595626">
            <w:tc>
              <w:tcPr>
                <w:tcW w:w="534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IV.</w:t>
                </w:r>
              </w:p>
            </w:tc>
            <w:tc>
              <w:tcPr>
                <w:tcW w:w="8676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Termin, sposób i miejsce składania ofert:</w:t>
                </w:r>
              </w:p>
            </w:tc>
          </w:tr>
        </w:tbl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Oferty należy składać w nieprzekraczalnym terminie do dnia </w:t>
          </w:r>
          <w:r>
            <w:rPr>
              <w:rFonts w:ascii="Arial" w:hAnsi="Arial" w:cs="Arial"/>
              <w:sz w:val="24"/>
              <w:szCs w:val="24"/>
            </w:rPr>
            <w:t>6 czerwca</w:t>
          </w:r>
          <w:r w:rsidRPr="00D61603">
            <w:rPr>
              <w:rFonts w:ascii="Arial" w:hAnsi="Arial" w:cs="Arial"/>
              <w:sz w:val="24"/>
              <w:szCs w:val="24"/>
            </w:rPr>
            <w:t xml:space="preserve"> 2023 roku do godziny 15</w:t>
          </w:r>
          <w:r w:rsidRPr="00D61603">
            <w:rPr>
              <w:rFonts w:ascii="Arial" w:hAnsi="Arial" w:cs="Arial"/>
              <w:sz w:val="24"/>
              <w:szCs w:val="24"/>
              <w:vertAlign w:val="superscript"/>
            </w:rPr>
            <w:t>30</w:t>
          </w:r>
          <w:r w:rsidRPr="00D61603">
            <w:rPr>
              <w:rFonts w:ascii="Arial" w:hAnsi="Arial" w:cs="Arial"/>
              <w:sz w:val="24"/>
              <w:szCs w:val="24"/>
            </w:rPr>
            <w:t xml:space="preserve"> w punkcie informacyjnym Urzędu Miasta w Piotrkowie Trybunalskim przy Pasażu Karola Rudowskiego 10.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Oferta musi być sporządzona zgodnie z wzorem określonym w rozporządzeniu Przewodniczącego Komitetu do Spraw Pożytku Publicznego z dnia 24 października 2018 roku w sprawie wzorów ofert i ramowych wzorów umów dotyczących realizacji </w:t>
          </w:r>
          <w:r w:rsidRPr="00D61603">
            <w:rPr>
              <w:rFonts w:ascii="Arial" w:hAnsi="Arial" w:cs="Arial"/>
              <w:sz w:val="24"/>
              <w:szCs w:val="24"/>
            </w:rPr>
            <w:lastRenderedPageBreak/>
            <w:t>zadań publicznych oraz wzorów sprawozdań z wykonania tych zadań (Dz. U. z 2018 r., poz. 2057).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  <w:u w:val="single"/>
            </w:rPr>
          </w:pPr>
          <w:r w:rsidRPr="00D61603">
            <w:rPr>
              <w:rFonts w:ascii="Arial" w:hAnsi="Arial" w:cs="Arial"/>
              <w:sz w:val="24"/>
              <w:szCs w:val="24"/>
              <w:u w:val="single"/>
            </w:rPr>
            <w:t>Do oferty należy dołączyć:</w:t>
          </w:r>
        </w:p>
        <w:p w:rsidR="00D61603" w:rsidRPr="00D61603" w:rsidRDefault="00D61603" w:rsidP="00D61603">
          <w:pPr>
            <w:numPr>
              <w:ilvl w:val="0"/>
              <w:numId w:val="9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aktualny wypis z Krajowego Rejestru Sądowego lub odpowiednio wyciąg z ewidencji potwierdzającej status prawny oferenta i umocowanie osób go reprezentujących – ważny 3 miesiące od daty wystawienia,</w:t>
          </w:r>
        </w:p>
        <w:p w:rsidR="00D61603" w:rsidRPr="00D61603" w:rsidRDefault="00D61603" w:rsidP="00D61603">
          <w:pPr>
            <w:numPr>
              <w:ilvl w:val="0"/>
              <w:numId w:val="9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aktualny statut organizacji lub jego kserokopię.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Wszystkie dokumenty przedstawione w formie kserokopii muszą zostać potwierdzone za zgodność z oryginałem (na każdej stronie) przez osoby upoważnione do reprezentowania oferenta.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Szczegółowe informacje dotyczące konkursu wraz z formularzem oferty i regulaminem konkursu dostępne są w Biuletynie Informacji Publicznej na stronie internetowej Urzędu Miasta Piotrkowa Trybunalskiego </w:t>
          </w:r>
          <w:hyperlink r:id="rId6" w:history="1">
            <w:r w:rsidRPr="00D61603">
              <w:rPr>
                <w:rStyle w:val="Hipercze"/>
                <w:rFonts w:ascii="Arial" w:hAnsi="Arial" w:cs="Arial"/>
                <w:sz w:val="24"/>
                <w:szCs w:val="24"/>
              </w:rPr>
              <w:t>www.piotrkow.pl</w:t>
            </w:r>
          </w:hyperlink>
          <w:r w:rsidRPr="00D61603">
            <w:rPr>
              <w:rFonts w:ascii="Arial" w:hAnsi="Arial" w:cs="Arial"/>
              <w:sz w:val="24"/>
              <w:szCs w:val="24"/>
              <w:u w:val="single"/>
            </w:rPr>
            <w:t>,</w:t>
          </w:r>
          <w:r w:rsidRPr="00D61603">
            <w:rPr>
              <w:rFonts w:ascii="Arial" w:hAnsi="Arial" w:cs="Arial"/>
              <w:sz w:val="24"/>
              <w:szCs w:val="24"/>
            </w:rPr>
            <w:t xml:space="preserve"> a także w Referacie Spraw Społecznych, pokój 318, tel. 732-77-42.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tbl>
          <w:tblPr>
            <w:tblW w:w="0" w:type="auto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443"/>
            <w:gridCol w:w="8619"/>
          </w:tblGrid>
          <w:tr w:rsidR="00D61603" w:rsidRPr="00D61603" w:rsidTr="00595626">
            <w:tc>
              <w:tcPr>
                <w:tcW w:w="392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V.</w:t>
                </w:r>
              </w:p>
            </w:tc>
            <w:tc>
              <w:tcPr>
                <w:tcW w:w="8818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Termin, tryb i kryteria stosowane przy wyborze ofert:</w:t>
                </w:r>
              </w:p>
            </w:tc>
          </w:tr>
        </w:tbl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ab/>
            <w:t>Złożone oferty zostaną rozpatrzone przez Komisję Konkursową powołaną przez Prezydenta Miasta Piotrkowa Trybunalskiego w ciągu 7 dni od daty zakończenia składania ofert, w oparciu o następujące kryteria: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  1) formalne:</w:t>
          </w:r>
        </w:p>
        <w:p w:rsidR="00D61603" w:rsidRPr="00D61603" w:rsidRDefault="00D61603" w:rsidP="00D61603">
          <w:pPr>
            <w:numPr>
              <w:ilvl w:val="0"/>
              <w:numId w:val="11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czy oferta została złożona w terminie określonym w ogłoszeniu (TAK/NIE),</w:t>
          </w:r>
        </w:p>
        <w:p w:rsidR="00D61603" w:rsidRPr="00D61603" w:rsidRDefault="00D61603" w:rsidP="00D61603">
          <w:pPr>
            <w:numPr>
              <w:ilvl w:val="0"/>
              <w:numId w:val="11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czy oferta została złożona przez podmiot uprawniony (TAK/NIE),</w:t>
          </w:r>
        </w:p>
        <w:p w:rsidR="00D61603" w:rsidRPr="00D61603" w:rsidRDefault="00D61603" w:rsidP="00D61603">
          <w:pPr>
            <w:numPr>
              <w:ilvl w:val="0"/>
              <w:numId w:val="11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czy zadanie jest zgodne z działalnością statutową oferenta (TAK/NIE),</w:t>
          </w:r>
        </w:p>
        <w:p w:rsidR="00D61603" w:rsidRPr="00D61603" w:rsidRDefault="00D61603" w:rsidP="00D61603">
          <w:pPr>
            <w:numPr>
              <w:ilvl w:val="0"/>
              <w:numId w:val="11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czy oferta została sporządzona na właściwym formularzu (TAK/NIE),</w:t>
          </w:r>
        </w:p>
        <w:p w:rsidR="00D61603" w:rsidRPr="00D61603" w:rsidRDefault="00D61603" w:rsidP="00D61603">
          <w:pPr>
            <w:numPr>
              <w:ilvl w:val="0"/>
              <w:numId w:val="11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czy rodzaj zadania wskazany w ofercie mieści się w zakresie zadań wskazanych w ogłoszeniu (TAK/NIE),</w:t>
          </w:r>
        </w:p>
        <w:p w:rsidR="00D61603" w:rsidRPr="00D61603" w:rsidRDefault="00D61603" w:rsidP="00D61603">
          <w:pPr>
            <w:numPr>
              <w:ilvl w:val="0"/>
              <w:numId w:val="11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czy oferta jest kompletna (zawiera wszystkie załączniki złożone we właściwej formie i podpisane lub potwierdzone za zgodność z oryginałem we właściwy sposób przez uprawnione osoby (TAK/NIE).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ab/>
            <w:t>2) merytoryczne:</w:t>
          </w:r>
        </w:p>
        <w:p w:rsidR="00D61603" w:rsidRPr="00D61603" w:rsidRDefault="00D61603" w:rsidP="00D61603">
          <w:pPr>
            <w:numPr>
              <w:ilvl w:val="0"/>
              <w:numId w:val="10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ocena możliwości realizacji zadania przez oferenta (ocena w skali 0 – 10 pkt),</w:t>
          </w:r>
        </w:p>
        <w:p w:rsidR="00D61603" w:rsidRPr="00D61603" w:rsidRDefault="00D61603" w:rsidP="00D61603">
          <w:pPr>
            <w:numPr>
              <w:ilvl w:val="0"/>
              <w:numId w:val="10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lastRenderedPageBreak/>
            <w:t>kalkulacja kosztów zadania w odniesieniu do oferowanego szczegółowego zakresu rzeczowego zadania: szczegółowe i precyzyjne wyliczenie kosztów, innych źródeł finansowania, w tym wkład własny wnioskodawcy (ocena w skali 0 – 20 pkt),</w:t>
          </w:r>
        </w:p>
        <w:p w:rsidR="00D61603" w:rsidRPr="00D61603" w:rsidRDefault="00D61603" w:rsidP="00D61603">
          <w:pPr>
            <w:numPr>
              <w:ilvl w:val="0"/>
              <w:numId w:val="10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dysponowanie kadrą zdolną do realizacji zadania (kwalifikacje i doświadczenie) (ocena w skali 0 – 20 pkt),</w:t>
          </w:r>
        </w:p>
        <w:p w:rsidR="00D61603" w:rsidRPr="00D61603" w:rsidRDefault="00D61603" w:rsidP="00D61603">
          <w:pPr>
            <w:numPr>
              <w:ilvl w:val="0"/>
              <w:numId w:val="10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 wkład rzeczowy i osobowy; praca wolontariuszy i praca społeczna członków (ocena w skali 0 – 10 pkt),</w:t>
          </w:r>
        </w:p>
        <w:p w:rsidR="00D61603" w:rsidRPr="00D61603" w:rsidRDefault="00D61603" w:rsidP="00D61603">
          <w:pPr>
            <w:numPr>
              <w:ilvl w:val="0"/>
              <w:numId w:val="10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doświadczenie oferenta w organizacji wypoczynku dla dzieci z rodzin najuboższych (ocena w skali 0 – 10 pkt),</w:t>
          </w:r>
        </w:p>
        <w:p w:rsidR="00D61603" w:rsidRPr="00D61603" w:rsidRDefault="00D61603" w:rsidP="00D61603">
          <w:pPr>
            <w:numPr>
              <w:ilvl w:val="0"/>
              <w:numId w:val="10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ilość dzieci, dla których organizowany jest wypoczynek (ocena w skali 0 – 10 pkt),</w:t>
          </w:r>
        </w:p>
        <w:p w:rsidR="00D61603" w:rsidRPr="00D61603" w:rsidRDefault="00D61603" w:rsidP="00D61603">
          <w:pPr>
            <w:numPr>
              <w:ilvl w:val="0"/>
              <w:numId w:val="10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dotychczasowa współpraca z jednostkami samorządu terytorialnego; rzetelność i terminowość oraz sposób rozliczenia otrzymanych na ten cel środków (ocena w skali 0-20 pkt).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Propozycje zawarte w protokole z prac Komisji Konkursowej po zatwierdzeniu przez Prezydenta Miasta Piotrkowa Trybunalskiego są wiążące.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Złożenie oferty nie jest równoznaczne z przyznaniem dotacji. Szczegółowe i ostateczne warunki realizacji, finansowania i rozliczenia zadania regulować będzie umowa pomiędzy Miastem Piotrków Trybunalski a oferentem wybranym w wyniku konkursu ofert.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Po rozpatrzeniu ofert przez Komisję Konkursową, Prezydent Miasta Piotrkowa Trybunalskiego dokona wyboru ofert na realizację zadania w terminie 4 dni.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  <w:u w:val="single"/>
            </w:rPr>
          </w:pPr>
          <w:r w:rsidRPr="00D61603">
            <w:rPr>
              <w:rFonts w:ascii="Arial" w:hAnsi="Arial" w:cs="Arial"/>
              <w:sz w:val="24"/>
              <w:szCs w:val="24"/>
              <w:u w:val="single"/>
            </w:rPr>
            <w:t>Odrzuceniu podlegają oferty:</w:t>
          </w:r>
        </w:p>
        <w:p w:rsidR="00D61603" w:rsidRPr="00D61603" w:rsidRDefault="00D61603" w:rsidP="00D61603">
          <w:pPr>
            <w:numPr>
              <w:ilvl w:val="0"/>
              <w:numId w:val="1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jeżeli oferentem jest podmiot, który nie rozliczył się z poprzednio uzyskanego dofinansowania, a upłynął już określony termin rozliczenia,</w:t>
          </w:r>
        </w:p>
        <w:p w:rsidR="00D61603" w:rsidRPr="00D61603" w:rsidRDefault="00D61603" w:rsidP="00D61603">
          <w:pPr>
            <w:numPr>
              <w:ilvl w:val="0"/>
              <w:numId w:val="1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złożone na niewłaściwych formularzach, sporządzone wadliwie, nieczytelnie, niekompletne bądź złożone po terminie,</w:t>
          </w:r>
        </w:p>
        <w:p w:rsidR="00D61603" w:rsidRPr="00D61603" w:rsidRDefault="00D61603" w:rsidP="00D61603">
          <w:pPr>
            <w:numPr>
              <w:ilvl w:val="0"/>
              <w:numId w:val="1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nieodpowiadające zadaniu wskazanemu w ogłoszeniu konkursowym,</w:t>
          </w:r>
        </w:p>
        <w:p w:rsidR="00D61603" w:rsidRPr="00D61603" w:rsidRDefault="00D61603" w:rsidP="00D61603">
          <w:pPr>
            <w:numPr>
              <w:ilvl w:val="0"/>
              <w:numId w:val="1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dotyczące zadania, które nie jest objęte celami statutowymi podmiotu, składającego ofertę,</w:t>
          </w:r>
        </w:p>
        <w:p w:rsidR="00D61603" w:rsidRPr="00D61603" w:rsidRDefault="00D61603" w:rsidP="00D61603">
          <w:pPr>
            <w:numPr>
              <w:ilvl w:val="0"/>
              <w:numId w:val="12"/>
            </w:num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złożone przez podmiot nieuprawniony do wzięcia udziału w konkursie.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Wsparcie zostanie udzielone na zasadach określonych w ustawie z dnia 24 kwietnia 2003 r. o działalności pożytku publicznego i o wolontariacie. 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VI. Zrealizowane przez Miasto Piotrków Trybunalski w roku ogłoszenia otwartego konkursu ofert i w roku poprzednim zadania publicznego tego samego rodzaju i związane z nimi koszty ze szczególnym uwzględnieniem wysokości dotacji przekazanych organizacjom pozarządowym.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>W latach 2019, 2020, 2021 i 2022 wymienione w ogłoszeniu zadanie realizowane było przez organizacje pozarządowe przy wsparciu z budżetu miasta w następujących kwotach:</w:t>
          </w:r>
        </w:p>
        <w:p w:rsidR="00D61603" w:rsidRPr="00D61603" w:rsidRDefault="00D61603" w:rsidP="00D61603">
          <w:pPr>
            <w:rPr>
              <w:rFonts w:ascii="Arial" w:hAnsi="Arial" w:cs="Arial"/>
              <w:sz w:val="24"/>
              <w:szCs w:val="24"/>
            </w:rPr>
          </w:pPr>
          <w:r w:rsidRPr="00D61603">
            <w:rPr>
              <w:rFonts w:ascii="Arial" w:hAnsi="Arial" w:cs="Arial"/>
              <w:sz w:val="24"/>
              <w:szCs w:val="24"/>
            </w:rPr>
            <w:t xml:space="preserve">   </w:t>
          </w:r>
        </w:p>
        <w:tbl>
          <w:tblPr>
            <w:tblW w:w="9067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1338"/>
            <w:gridCol w:w="1338"/>
            <w:gridCol w:w="3556"/>
            <w:gridCol w:w="1340"/>
            <w:gridCol w:w="278"/>
            <w:gridCol w:w="1217"/>
          </w:tblGrid>
          <w:tr w:rsidR="00D61603" w:rsidRPr="00D61603" w:rsidTr="00595626">
            <w:trPr>
              <w:trHeight w:val="571"/>
            </w:trPr>
            <w:tc>
              <w:tcPr>
                <w:tcW w:w="0" w:type="auto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0" w:type="auto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rok 2019</w:t>
                </w:r>
              </w:p>
            </w:tc>
            <w:tc>
              <w:tcPr>
                <w:tcW w:w="3556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 xml:space="preserve">          rok 2020        rok 2021        </w:t>
                </w:r>
              </w:p>
            </w:tc>
            <w:tc>
              <w:tcPr>
                <w:tcW w:w="1340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 xml:space="preserve">rok 2022        </w:t>
                </w:r>
              </w:p>
            </w:tc>
            <w:tc>
              <w:tcPr>
                <w:tcW w:w="278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17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D61603" w:rsidRPr="00D61603" w:rsidTr="00595626">
            <w:trPr>
              <w:trHeight w:val="571"/>
            </w:trPr>
            <w:tc>
              <w:tcPr>
                <w:tcW w:w="0" w:type="auto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 xml:space="preserve"> Zadanie </w:t>
                </w:r>
              </w:p>
            </w:tc>
            <w:tc>
              <w:tcPr>
                <w:tcW w:w="0" w:type="auto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218.000</w:t>
                </w:r>
              </w:p>
            </w:tc>
            <w:tc>
              <w:tcPr>
                <w:tcW w:w="3556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 xml:space="preserve">          0.000              188.000</w:t>
                </w:r>
              </w:p>
            </w:tc>
            <w:tc>
              <w:tcPr>
                <w:tcW w:w="1340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61603">
                  <w:rPr>
                    <w:rFonts w:ascii="Arial" w:hAnsi="Arial" w:cs="Arial"/>
                    <w:sz w:val="24"/>
                    <w:szCs w:val="24"/>
                  </w:rPr>
                  <w:t>200.000</w:t>
                </w:r>
              </w:p>
            </w:tc>
            <w:tc>
              <w:tcPr>
                <w:tcW w:w="278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217" w:type="dxa"/>
              </w:tcPr>
              <w:p w:rsidR="00D61603" w:rsidRPr="00D61603" w:rsidRDefault="00D61603" w:rsidP="00D61603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  <w:p w:rsidR="00D61603" w:rsidRDefault="00BD1598" w:rsidP="00D61603"/>
      </w:sdtContent>
    </w:sdt>
    <w:p w:rsidR="00D61603" w:rsidRPr="00D61603" w:rsidRDefault="00D61603" w:rsidP="00D61603">
      <w:pPr>
        <w:jc w:val="right"/>
      </w:pPr>
      <w:r w:rsidRPr="00D61603">
        <w:t>Prezydent Miasta Piotrkowa Trybunalskiego</w:t>
      </w:r>
    </w:p>
    <w:p w:rsidR="00D61603" w:rsidRPr="00D61603" w:rsidRDefault="00D61603" w:rsidP="00D61603">
      <w:pPr>
        <w:jc w:val="right"/>
      </w:pPr>
      <w:r w:rsidRPr="00D61603">
        <w:t>Krzysztof Chojniak</w:t>
      </w:r>
    </w:p>
    <w:p w:rsidR="00D61603" w:rsidRPr="00D61603" w:rsidRDefault="00D61603" w:rsidP="00D61603">
      <w:pPr>
        <w:jc w:val="right"/>
      </w:pPr>
      <w:r w:rsidRPr="00D61603">
        <w:t>Dokument został podpisany</w:t>
      </w:r>
    </w:p>
    <w:p w:rsidR="00D61603" w:rsidRPr="00D61603" w:rsidRDefault="00D61603" w:rsidP="00D61603">
      <w:pPr>
        <w:jc w:val="right"/>
      </w:pPr>
      <w:r w:rsidRPr="00D61603">
        <w:t>kwalifikowanym podpisem elektronicznym</w:t>
      </w:r>
    </w:p>
    <w:p w:rsidR="009A77EC" w:rsidRDefault="009A77EC"/>
    <w:sectPr w:rsidR="009A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B95"/>
    <w:multiLevelType w:val="hybridMultilevel"/>
    <w:tmpl w:val="AE7690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B322E"/>
    <w:multiLevelType w:val="hybridMultilevel"/>
    <w:tmpl w:val="58400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7E7A"/>
    <w:multiLevelType w:val="hybridMultilevel"/>
    <w:tmpl w:val="AABA5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1634"/>
    <w:multiLevelType w:val="hybridMultilevel"/>
    <w:tmpl w:val="0CD4755A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5BF4F38"/>
    <w:multiLevelType w:val="hybridMultilevel"/>
    <w:tmpl w:val="A3940AB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B2B86"/>
    <w:multiLevelType w:val="hybridMultilevel"/>
    <w:tmpl w:val="E00E0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40932"/>
    <w:multiLevelType w:val="hybridMultilevel"/>
    <w:tmpl w:val="0C243F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98658B"/>
    <w:multiLevelType w:val="hybridMultilevel"/>
    <w:tmpl w:val="CEF64490"/>
    <w:lvl w:ilvl="0" w:tplc="D65C1F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82165"/>
    <w:multiLevelType w:val="hybridMultilevel"/>
    <w:tmpl w:val="8E6E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E36D6"/>
    <w:multiLevelType w:val="hybridMultilevel"/>
    <w:tmpl w:val="EE7A5E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73A44"/>
    <w:multiLevelType w:val="hybridMultilevel"/>
    <w:tmpl w:val="869E043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CF6916"/>
    <w:multiLevelType w:val="hybridMultilevel"/>
    <w:tmpl w:val="3C16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050764">
    <w:abstractNumId w:val="5"/>
  </w:num>
  <w:num w:numId="2" w16cid:durableId="1061174871">
    <w:abstractNumId w:val="1"/>
  </w:num>
  <w:num w:numId="3" w16cid:durableId="1019740165">
    <w:abstractNumId w:val="10"/>
  </w:num>
  <w:num w:numId="4" w16cid:durableId="1757170184">
    <w:abstractNumId w:val="2"/>
  </w:num>
  <w:num w:numId="5" w16cid:durableId="1495416797">
    <w:abstractNumId w:val="4"/>
  </w:num>
  <w:num w:numId="6" w16cid:durableId="2022976294">
    <w:abstractNumId w:val="3"/>
  </w:num>
  <w:num w:numId="7" w16cid:durableId="475951420">
    <w:abstractNumId w:val="9"/>
  </w:num>
  <w:num w:numId="8" w16cid:durableId="1750426332">
    <w:abstractNumId w:val="6"/>
  </w:num>
  <w:num w:numId="9" w16cid:durableId="1610969040">
    <w:abstractNumId w:val="8"/>
  </w:num>
  <w:num w:numId="10" w16cid:durableId="764764261">
    <w:abstractNumId w:val="7"/>
  </w:num>
  <w:num w:numId="11" w16cid:durableId="515967606">
    <w:abstractNumId w:val="0"/>
  </w:num>
  <w:num w:numId="12" w16cid:durableId="44834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F997292-32C8-4069-84A3-F151E888A71C}"/>
  </w:docVars>
  <w:rsids>
    <w:rsidRoot w:val="00D61603"/>
    <w:rsid w:val="00986AFD"/>
    <w:rsid w:val="009A77EC"/>
    <w:rsid w:val="00BD1598"/>
    <w:rsid w:val="00D6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95DC7-7721-4823-8891-55F9ED64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160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16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738ED89744C4E95D64BBAC72B8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8067B-B233-4408-B0BA-FC2EEFD0FD8E}"/>
      </w:docPartPr>
      <w:docPartBody>
        <w:p w:rsidR="00146290" w:rsidRDefault="00B0739D" w:rsidP="00B0739D">
          <w:pPr>
            <w:pStyle w:val="0ED738ED89744C4E95D64BBAC72B8922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F608F4FEEE304895AFB98B71EA0CD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3F9C43-94BC-4765-8142-67BF3AB925FD}"/>
      </w:docPartPr>
      <w:docPartBody>
        <w:p w:rsidR="00146290" w:rsidRDefault="00B0739D" w:rsidP="00B0739D">
          <w:pPr>
            <w:pStyle w:val="F608F4FEEE304895AFB98B71EA0CDA0F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D"/>
    <w:rsid w:val="00146290"/>
    <w:rsid w:val="00B0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739D"/>
    <w:rPr>
      <w:color w:val="808080"/>
    </w:rPr>
  </w:style>
  <w:style w:type="paragraph" w:customStyle="1" w:styleId="0ED738ED89744C4E95D64BBAC72B8922">
    <w:name w:val="0ED738ED89744C4E95D64BBAC72B8922"/>
    <w:rsid w:val="00B0739D"/>
  </w:style>
  <w:style w:type="paragraph" w:customStyle="1" w:styleId="F608F4FEEE304895AFB98B71EA0CDA0F">
    <w:name w:val="F608F4FEEE304895AFB98B71EA0CDA0F"/>
    <w:rsid w:val="00B07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997292-32C8-4069-84A3-F151E888A7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1424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Katarzyna</dc:creator>
  <cp:keywords/>
  <dc:description/>
  <cp:lastModifiedBy>Grabowiecka Beata</cp:lastModifiedBy>
  <cp:revision>2</cp:revision>
  <dcterms:created xsi:type="dcterms:W3CDTF">2023-05-16T11:38:00Z</dcterms:created>
  <dcterms:modified xsi:type="dcterms:W3CDTF">2023-05-16T12:42:00Z</dcterms:modified>
</cp:coreProperties>
</file>