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CE73D6" w:rsidP="002E248C">
      <w:bookmarkStart w:id="0" w:name="ezdSprawaZnak"/>
      <w:r>
        <w:t>DBI.0050.120.2023</w:t>
      </w:r>
      <w:bookmarkEnd w:id="0"/>
    </w:p>
    <w:p w:rsidR="005014BA" w:rsidRDefault="00CE73D6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120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12-05-2023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45764763" w:edGrp="everyone"/>
          <w:r w:rsidRPr="00F52AA6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45764763"/>
        </w:sdtContent>
      </w:sdt>
    </w:p>
    <w:permStart w:id="1307531428" w:edGrp="everyone" w:displacedByCustomXml="next"/>
    <w:sdt>
      <w:sdtPr>
        <w:rPr>
          <w:rFonts w:ascii="Arial" w:hAnsi="Arial" w:cs="Arial"/>
        </w:rPr>
        <w:id w:val="785394786"/>
        <w:placeholder>
          <w:docPart w:val="0BABC2FF405F44A88609AD01C89B2D81"/>
        </w:placeholder>
      </w:sdtPr>
      <w:sdtEndPr/>
      <w:sdtContent>
        <w:p w:rsid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Na podstawie art. 30 ust. 1 i art. 60 ust. 2 pkt. 3, 4, 5 ustawy z dnia 8 marca 1990 r. o samorządzie gminnym: (Dz. U. z 2023 r. poz. 40 z późn.zm.), art. 257 ustawy z dnia 27 sierpnia 2009 r. o finansach publicznych (Dz. U. z 2022 r. poz. 1634 z późn.zm.)</w:t>
          </w:r>
          <w:r w:rsidRPr="00EA3ECE">
            <w:rPr>
              <w:rFonts w:ascii="Arial" w:hAnsi="Arial" w:cs="Arial"/>
            </w:rPr>
            <w:t>, § 28 Uchwały Nr LVIII/732/22 Rady Miasta Piotrkowa Trybunalskiego z dnia 21 grudnia 2022 r. w sprawie uchwalenia budżetu miasta na 2023 r. oraz § 9 Uchwały Nr LX/745/23 Rady Miasta Piotrkowa Trybunalskiego z dnia 25 stycznia 2023 r. w sprawie zmiany budż</w:t>
          </w:r>
          <w:r w:rsidRPr="00EA3ECE">
            <w:rPr>
              <w:rFonts w:ascii="Arial" w:hAnsi="Arial" w:cs="Arial"/>
            </w:rPr>
            <w:t xml:space="preserve">etu miasta na 2023 r. zarządza się, co następuje: 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</w:p>
        <w:p w:rsidR="00EA3ECE" w:rsidRPr="00EA3ECE" w:rsidRDefault="00CE73D6" w:rsidP="00EA3ECE">
          <w:pPr>
            <w:pStyle w:val="Tekstpodstawowy"/>
            <w:rPr>
              <w:rFonts w:ascii="Arial" w:hAnsi="Arial" w:cs="Arial"/>
              <w:sz w:val="22"/>
              <w:szCs w:val="22"/>
            </w:rPr>
          </w:pPr>
          <w:r w:rsidRPr="00EA3ECE">
            <w:rPr>
              <w:rFonts w:ascii="Arial" w:hAnsi="Arial" w:cs="Arial"/>
              <w:sz w:val="22"/>
              <w:szCs w:val="22"/>
            </w:rPr>
            <w:t>§ 1.1. Zwiększa się dochody budżetowe o kwotę 113.192,84 zł, w tym: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- zwiększa się dochody dotyczące gminy o 70.383,96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- zwiększa się dochody dotyczące powiatu o 42.808,88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zgodnie z załącznikami n</w:t>
          </w:r>
          <w:r w:rsidRPr="00EA3ECE">
            <w:rPr>
              <w:rFonts w:ascii="Arial" w:hAnsi="Arial" w:cs="Arial"/>
            </w:rPr>
            <w:t>r 1/A i 1/B.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2. Zwiększa się wydatki budżetowe o kwotę 113.192,84 zł, w tym: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- zwiększa się wydatki dotyczące zadań gminy o 70.383,96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- zwiększa się wydatki dotyczące zadań powiatu o 42.808,88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zgodnie z załącznikami nr 2/A i 2/B.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3. Dokonuje się zm</w:t>
          </w:r>
          <w:r w:rsidRPr="00EA3ECE">
            <w:rPr>
              <w:rFonts w:ascii="Arial" w:hAnsi="Arial" w:cs="Arial"/>
            </w:rPr>
            <w:t>ian w planie dotacji na realizację zadań z zakresu administracji rządowej oraz innych zadań zleconych ustawami zgodnie z załącznikami nr 3/A i 3/B.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4. Dokonuje się zmian w planie wydatków na realizację zadań z zakresu administracji rządowej oraz innych zad</w:t>
          </w:r>
          <w:r w:rsidRPr="00EA3ECE">
            <w:rPr>
              <w:rFonts w:ascii="Arial" w:hAnsi="Arial" w:cs="Arial"/>
            </w:rPr>
            <w:t>ań zleconych ustawami, zgodnie z załącznikami nr 4/A i 4/B.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5. Dokonuje się zmian w planie dochodów i wydatków związanych z realizacją zadań finansowanych z Funduszu Pomocy, zgodnie z załącznikiem nr 5.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§ 2. Budżet Miasta po zmianach wynosi: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 xml:space="preserve">dochody </w:t>
          </w:r>
          <w:r w:rsidRPr="00EA3ECE">
            <w:rPr>
              <w:rFonts w:ascii="Arial" w:hAnsi="Arial" w:cs="Arial"/>
            </w:rPr>
            <w:t>564.270.352,75 zł, w tym: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 xml:space="preserve">dochody dotyczące zadań gminy 390.826.468,76 zł, 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dochody bieżące 348.417.867,68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dochody majątkowe 42.408.601,08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dochody dotyczące zadań powiatu 173.443.883,99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dochody bieżące 156.588.982,23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dochody majątkowe 16.85</w:t>
          </w:r>
          <w:r w:rsidRPr="00EA3ECE">
            <w:rPr>
              <w:rFonts w:ascii="Arial" w:hAnsi="Arial" w:cs="Arial"/>
            </w:rPr>
            <w:t>4.901,76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lastRenderedPageBreak/>
            <w:t>wydatki 659.077.776,57 zł, w tym: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 xml:space="preserve">wydatki dotyczące zadań gminy 461.615.521,93 zł, 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wydatki bieżące 351.521.879,38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wydatki majątkowe 110.093.642,55 zł,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 xml:space="preserve">wydatki dotyczące zadań powiatu 197.462.254,64 zł, 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 xml:space="preserve">wydatki bieżące 164.082.008,60 zł, 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wydatki majątkowe 33.380.246,04 zł.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  <w:highlight w:val="yellow"/>
            </w:rPr>
          </w:pP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§ 3. 1. Rozwiązuje się rezerwę ogólną o kwotę 110.138,00 zł, która po zmianie wyniesie 557.607,50 zł.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2. Rozwiązuje się rezerwę celową na oświatę i edukacyjna opiekę wychowawczą o kwotę 54.796,00 zł, która po zmianie w</w:t>
          </w:r>
          <w:r w:rsidRPr="00EA3ECE">
            <w:rPr>
              <w:rFonts w:ascii="Arial" w:hAnsi="Arial" w:cs="Arial"/>
            </w:rPr>
            <w:t>yniesie 612.910,40 zł.</w:t>
          </w:r>
        </w:p>
        <w:p w:rsidR="00EA3ECE" w:rsidRPr="00EA3ECE" w:rsidRDefault="00CE73D6" w:rsidP="00EA3ECE">
          <w:pPr>
            <w:spacing w:after="0" w:line="360" w:lineRule="auto"/>
            <w:rPr>
              <w:rFonts w:ascii="Arial" w:hAnsi="Arial" w:cs="Arial"/>
            </w:rPr>
          </w:pPr>
        </w:p>
        <w:p w:rsidR="00CE73D6" w:rsidRDefault="00CE73D6" w:rsidP="00EA3ECE">
          <w:pPr>
            <w:spacing w:after="0" w:line="360" w:lineRule="auto"/>
            <w:rPr>
              <w:rFonts w:ascii="Arial" w:hAnsi="Arial" w:cs="Arial"/>
            </w:rPr>
          </w:pPr>
          <w:r w:rsidRPr="00EA3ECE">
            <w:rPr>
              <w:rFonts w:ascii="Arial" w:hAnsi="Arial" w:cs="Arial"/>
            </w:rPr>
            <w:t>§ 4. Zarządzenie wchodzi w życie z dniem podpisania i podlega ogłoszeniu w Dzienniku Urzędowym Województwa Łódzkiego oraz w Biuletynie Informacji Publicznej.</w:t>
          </w:r>
        </w:p>
        <w:p w:rsidR="00CE73D6" w:rsidRDefault="00CE73D6" w:rsidP="00CE73D6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:rsidR="00CE73D6" w:rsidRDefault="00CE73D6" w:rsidP="00CE73D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:rsidR="00F22A10" w:rsidRPr="00EA3ECE" w:rsidRDefault="00CE73D6" w:rsidP="00CE73D6">
          <w:pPr>
            <w:spacing w:after="0" w:line="360" w:lineRule="auto"/>
            <w:ind w:left="4956" w:firstLine="708"/>
            <w:rPr>
              <w:rFonts w:ascii="Arial" w:hAnsi="Arial" w:cs="Arial"/>
            </w:rPr>
          </w:pPr>
          <w:bookmarkStart w:id="2" w:name="_GoBack"/>
          <w:bookmarkEnd w:id="2"/>
          <w:r>
            <w:rPr>
              <w:rFonts w:ascii="Arial" w:hAnsi="Arial" w:cs="Arial"/>
            </w:rPr>
            <w:t>WICEPREZYDENT MIASTA</w:t>
          </w:r>
        </w:p>
      </w:sdtContent>
    </w:sdt>
    <w:permEnd w:id="1307531428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CE73D6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EA3ECE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73D6">
      <w:pPr>
        <w:spacing w:after="0" w:line="240" w:lineRule="auto"/>
      </w:pPr>
      <w:r>
        <w:separator/>
      </w:r>
    </w:p>
  </w:endnote>
  <w:endnote w:type="continuationSeparator" w:id="0">
    <w:p w:rsidR="00000000" w:rsidRDefault="00CE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CE73D6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73D6">
      <w:pPr>
        <w:spacing w:after="0" w:line="240" w:lineRule="auto"/>
      </w:pPr>
      <w:r>
        <w:separator/>
      </w:r>
    </w:p>
  </w:footnote>
  <w:footnote w:type="continuationSeparator" w:id="0">
    <w:p w:rsidR="00000000" w:rsidRDefault="00CE7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6"/>
    <w:rsid w:val="00C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BDE38-A851-4641-A926-C3CCE73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EA3ECE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3EC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763909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D086-FAA1-4646-889A-A63A0715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2023-05-12T13:07:00Z</dcterms:created>
  <dcterms:modified xsi:type="dcterms:W3CDTF">2023-05-12T13:07:00Z</dcterms:modified>
</cp:coreProperties>
</file>