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2369B3" w14:paraId="4428E5BE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3C43867" w14:textId="77777777" w:rsidR="00A77B3E" w:rsidRDefault="0048204F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bookmarkStart w:id="0" w:name="_GoBack"/>
            <w:bookmarkEnd w:id="0"/>
            <w:r>
              <w:rPr>
                <w:b/>
                <w:i/>
                <w:sz w:val="20"/>
                <w:u w:val="thick"/>
              </w:rPr>
              <w:t>Projekt</w:t>
            </w:r>
          </w:p>
          <w:p w14:paraId="29B4A5FB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125055F8" w14:textId="77777777" w:rsidR="00A77B3E" w:rsidRDefault="0048204F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27 marca 2023 r.</w:t>
            </w:r>
          </w:p>
          <w:p w14:paraId="2EFEBF05" w14:textId="77777777" w:rsidR="00A77B3E" w:rsidRDefault="0048204F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7DF2F7EE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6D1E72D9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70028E0D" w14:textId="77777777" w:rsidR="00A77B3E" w:rsidRDefault="00A77B3E"/>
    <w:p w14:paraId="2D10755F" w14:textId="77777777" w:rsidR="00A77B3E" w:rsidRDefault="0048204F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Piotrkowa Trybunalskiego</w:t>
      </w:r>
    </w:p>
    <w:p w14:paraId="6B737FAC" w14:textId="77777777" w:rsidR="00A77B3E" w:rsidRDefault="0048204F">
      <w:pPr>
        <w:spacing w:before="280" w:after="280"/>
        <w:jc w:val="center"/>
        <w:rPr>
          <w:b/>
          <w:caps/>
        </w:rPr>
      </w:pPr>
      <w:r>
        <w:t>z dnia .................... 2023 r.</w:t>
      </w:r>
    </w:p>
    <w:p w14:paraId="48F5D23C" w14:textId="77777777" w:rsidR="00A77B3E" w:rsidRDefault="0048204F">
      <w:pPr>
        <w:keepNext/>
        <w:spacing w:after="480"/>
        <w:jc w:val="center"/>
      </w:pPr>
      <w:r>
        <w:rPr>
          <w:b/>
        </w:rPr>
        <w:t xml:space="preserve">w sprawie zmiany uchwały nr IX/122/19 Rady Miasta Piotrkowa </w:t>
      </w:r>
      <w:r>
        <w:rPr>
          <w:b/>
        </w:rPr>
        <w:t>Trybunalskiego z dnia 26 czerwca 2019 r. w sprawie ustalenia lokalizacji inwestycji mieszkaniowej przy ul. Energetyków w Piotrkowie Trybunalskim</w:t>
      </w:r>
    </w:p>
    <w:p w14:paraId="198F1F3E" w14:textId="77777777" w:rsidR="00A77B3E" w:rsidRDefault="0048204F">
      <w:pPr>
        <w:keepLines/>
        <w:spacing w:before="120" w:after="120"/>
        <w:ind w:firstLine="227"/>
      </w:pPr>
      <w:r>
        <w:t>Na podstawie art. 7 ust. 4, art. 8 ust. 1-3 ustawy z dnia 5 lipca 2018 r. o ułatwieniach w przygotowaniu i real</w:t>
      </w:r>
      <w:r>
        <w:t>izacji inwestycji mieszkaniowych oraz inwestycji towarzyszących (Dz. U. z 2021 r. poz. 1538) oraz art. 18 ust. 2 pkt 15 ustawy z dnia 8 marca 1990 r. o samorządzie gminnym (Dz. U. z 2023 r. poz. 40) uchwala się, co następuje:</w:t>
      </w:r>
    </w:p>
    <w:p w14:paraId="22AE4007" w14:textId="77777777" w:rsidR="00A77B3E" w:rsidRDefault="0048204F">
      <w:pPr>
        <w:keepLines/>
        <w:spacing w:before="120" w:after="120"/>
        <w:ind w:firstLine="340"/>
      </w:pPr>
      <w:r>
        <w:rPr>
          <w:b/>
        </w:rPr>
        <w:t>§ 1. </w:t>
      </w:r>
      <w:r>
        <w:t>W uchwale nr IX/122/19 Ra</w:t>
      </w:r>
      <w:r>
        <w:t>dy Miasta Piotrkowa Trybunalskiego z dnia 26 czerwca 2019 r. § 8 pkt 8 lit. a) otrzymuje brzmienie:</w:t>
      </w:r>
    </w:p>
    <w:p w14:paraId="11DB105B" w14:textId="77777777" w:rsidR="00A77B3E" w:rsidRDefault="0048204F">
      <w:pPr>
        <w:spacing w:before="120" w:after="120"/>
        <w:ind w:left="1020" w:hanging="340"/>
      </w:pPr>
      <w:r>
        <w:t>„8) sposób zagospodarowania terenu oraz charakterystyka zabudowy i zagospodarowania terenu:</w:t>
      </w:r>
    </w:p>
    <w:p w14:paraId="1C0F354C" w14:textId="77777777" w:rsidR="00A77B3E" w:rsidRDefault="0048204F">
      <w:pPr>
        <w:keepLines/>
        <w:spacing w:before="120" w:after="120"/>
        <w:ind w:left="1247" w:hanging="227"/>
      </w:pPr>
      <w:r>
        <w:t xml:space="preserve">a) Inwestycja obejmuje budowę pięciu budynków mieszkalnych </w:t>
      </w:r>
      <w:r>
        <w:t xml:space="preserve">wielorodzinnych. Każdy budynek składa się z dwóch segmentów połączonych przeszklonym pionem komunikacyjnym z windą i klatką schodową. Budynki zlokalizowane zostaną wzdłuż projektowanej ulicy wewnętrznej. Obsługa komunikacyjna inwestycji odbywać się będzie </w:t>
      </w:r>
      <w:r>
        <w:t>poprzez zjazdy z ul. Dmowskiego oraz ul. Energetyków. W ramach wewnętrznego układu komunikacyjnego przewidziana jest realizacja utwardzonych dróg zapewniających dojazd do miejsc parkingowych i spełniających wymagania dróg przeciwpożarowych. Na terenie inwe</w:t>
      </w:r>
      <w:r>
        <w:t>stycji przewiduje się lokalizację placu zabaw dla dzieci. Budynki mieszkalne wielorodzinne są to budynki 5 kondygnacyjne, całkowicie podpiwniczone. Na projektowanych budynkach zlokalizowanych wzdłuż wschodniej granicy działki 152/1 i 152/2 na poziomie 4 i </w:t>
      </w:r>
      <w:r>
        <w:t>5 kondygnacji zostaną utworzone zielone tarasy co spowoduje zmianę wysokości w części tych budynków. W kondygnacjach podziemnych przewidziane są garaże. Planowana inwestycja przewiduje 230 miejsc parkingowych (zewnętrznych i wewnętrznych). Na terenie nieru</w:t>
      </w:r>
      <w:r>
        <w:t>chomości przewidziano 2 miejsca gromadzenia odpadów.”.</w:t>
      </w:r>
    </w:p>
    <w:p w14:paraId="0E7C6DF8" w14:textId="77777777" w:rsidR="00A77B3E" w:rsidRDefault="0048204F">
      <w:pPr>
        <w:keepLines/>
        <w:spacing w:before="120" w:after="120"/>
        <w:ind w:firstLine="340"/>
      </w:pPr>
      <w:r>
        <w:rPr>
          <w:b/>
        </w:rPr>
        <w:t>§ 2. </w:t>
      </w:r>
      <w:r>
        <w:t>Dotychczasowy załącznik nr 2 do uchwały nr IX/122/19 Rady Miasta Piotrkowa Trybunalskiego z dnia 26 czerwca 2019 r. otrzymuje brzmienie jak w załączniku nr 1 do niniejszej uchwały.</w:t>
      </w:r>
    </w:p>
    <w:p w14:paraId="56936FE6" w14:textId="77777777" w:rsidR="00A77B3E" w:rsidRDefault="0048204F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Pozostałe </w:t>
      </w:r>
      <w:r>
        <w:t>postanowienia uchwały nr IX/122/19 Rady Miasta Piotrkowa Trybunalskiego z dnia 26 czerwca 2019 r. pozostają bez zmian.</w:t>
      </w:r>
    </w:p>
    <w:p w14:paraId="7138BC38" w14:textId="77777777" w:rsidR="00A77B3E" w:rsidRDefault="0048204F">
      <w:pPr>
        <w:keepLines/>
        <w:spacing w:before="120" w:after="120"/>
        <w:ind w:firstLine="340"/>
      </w:pPr>
      <w:r>
        <w:rPr>
          <w:b/>
        </w:rPr>
        <w:t>§ 4. </w:t>
      </w:r>
      <w:r>
        <w:t>Wykonanie uchwały powierza się Prezydentowi Miasta Piotrkowa Trybunalskiego.</w:t>
      </w:r>
    </w:p>
    <w:p w14:paraId="28999F3D" w14:textId="77777777" w:rsidR="00A77B3E" w:rsidRDefault="0048204F">
      <w:pPr>
        <w:keepLines/>
        <w:spacing w:before="120" w:after="120"/>
        <w:ind w:firstLine="340"/>
      </w:pPr>
      <w:r>
        <w:rPr>
          <w:b/>
        </w:rPr>
        <w:t>§ 5. </w:t>
      </w:r>
      <w:r>
        <w:t>Uchwała podlega publikacji w Dzienniku Urzędowym W</w:t>
      </w:r>
      <w:r>
        <w:t>ojewództwa Łódzkiego.</w:t>
      </w:r>
    </w:p>
    <w:p w14:paraId="287EBA68" w14:textId="77777777" w:rsidR="00A77B3E" w:rsidRDefault="0048204F">
      <w:pPr>
        <w:keepLines/>
        <w:spacing w:before="120" w:after="120"/>
        <w:ind w:firstLine="340"/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6. </w:t>
      </w:r>
      <w:r>
        <w:t>Uchwała wchodzi w życie z dniem podjęcia.</w:t>
      </w:r>
    </w:p>
    <w:p w14:paraId="20C1FA0E" w14:textId="77777777" w:rsidR="00A77B3E" w:rsidRDefault="0048204F">
      <w:pPr>
        <w:spacing w:before="120" w:after="120" w:line="360" w:lineRule="auto"/>
        <w:ind w:left="5552"/>
        <w:jc w:val="left"/>
      </w:pPr>
      <w:r>
        <w:lastRenderedPageBreak/>
        <w:fldChar w:fldCharType="begin"/>
      </w:r>
      <w:r>
        <w:fldChar w:fldCharType="end"/>
      </w:r>
      <w:r>
        <w:t xml:space="preserve">Załącznik do uchwały Nr </w:t>
      </w:r>
      <w:r>
        <w:t>....................</w:t>
      </w:r>
      <w:r>
        <w:br/>
        <w:t>Rady Miasta Piotrkowa Trybunalskiego</w:t>
      </w:r>
      <w:r>
        <w:br/>
        <w:t>z dnia....................2023 r.</w:t>
      </w:r>
    </w:p>
    <w:p w14:paraId="4CA2AF7F" w14:textId="77777777" w:rsidR="00A77B3E" w:rsidRDefault="0048204F">
      <w:pPr>
        <w:spacing w:before="120" w:after="120"/>
        <w:ind w:left="283" w:firstLine="227"/>
        <w:jc w:val="left"/>
      </w:pPr>
      <w:r>
        <w:rPr>
          <w:noProof/>
          <w:lang w:bidi="ar-SA"/>
        </w:rPr>
        <w:lastRenderedPageBreak/>
        <w:drawing>
          <wp:inline distT="0" distB="0" distL="0" distR="0" wp14:anchorId="247738AE" wp14:editId="0CC6395D">
            <wp:extent cx="6265075" cy="8865081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5075" cy="886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6EC2" w14:textId="77777777" w:rsidR="00A77B3E" w:rsidRDefault="0048204F">
      <w:pPr>
        <w:spacing w:before="120" w:after="120"/>
        <w:ind w:left="283" w:firstLine="227"/>
        <w:jc w:val="left"/>
      </w:pPr>
      <w:r>
        <w:rPr>
          <w:noProof/>
          <w:lang w:bidi="ar-SA"/>
        </w:rPr>
        <w:lastRenderedPageBreak/>
        <w:drawing>
          <wp:inline distT="0" distB="0" distL="0" distR="0" wp14:anchorId="2B936992" wp14:editId="5145D623">
            <wp:extent cx="6265917" cy="8866273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5917" cy="886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D73B" w14:textId="77777777" w:rsidR="00A77B3E" w:rsidRDefault="00A77B3E">
      <w:pPr>
        <w:spacing w:before="120" w:after="120"/>
        <w:ind w:left="283" w:firstLine="227"/>
        <w:jc w:val="left"/>
        <w:sectPr w:rsidR="00A77B3E">
          <w:footerReference w:type="default" r:id="rId1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3B49A23D" w14:textId="77777777" w:rsidR="002369B3" w:rsidRDefault="002369B3">
      <w:pPr>
        <w:rPr>
          <w:szCs w:val="20"/>
        </w:rPr>
      </w:pPr>
    </w:p>
    <w:p w14:paraId="12E1D3A8" w14:textId="77777777" w:rsidR="002369B3" w:rsidRDefault="0048204F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7C81912B" w14:textId="77777777" w:rsidR="002369B3" w:rsidRDefault="0048204F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Uzasadnienie do projektu Uchwały Rady Miasta </w:t>
      </w:r>
      <w:r>
        <w:rPr>
          <w:b/>
          <w:szCs w:val="20"/>
        </w:rPr>
        <w:t>Piotrkowa Trybunalskiego w sprawie zmiany Uchwały nr IX/122/19 Rady Miasta Piotrkowa Trybunalskiego z dnia 26 czerwca 2019 r. w sprawie ustalenia lokalizacji inwestycji mieszkaniowej przy ul. Energetyków w Piotrkowie Trybunalskim.</w:t>
      </w:r>
    </w:p>
    <w:p w14:paraId="11AB2738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dniu 26 czerwca 2019 r.</w:t>
      </w:r>
      <w:r>
        <w:rPr>
          <w:color w:val="000000"/>
          <w:szCs w:val="20"/>
          <w:u w:color="000000"/>
        </w:rPr>
        <w:t xml:space="preserve"> Rada Miasta Piotrkowa Trybunalskiego podjęła Uchwałę nr IX/122/19 w sprawie ustalenia lokalizacji inwestycji mieszkaniowej przy ul. Energetyków w Piotrkowie Trybunalskim dot. budowy pięciu budynków mieszkalnych wielorodzinnych na działkach o nr ewid. 152/</w:t>
      </w:r>
      <w:r>
        <w:rPr>
          <w:color w:val="000000"/>
          <w:szCs w:val="20"/>
          <w:u w:color="000000"/>
        </w:rPr>
        <w:t>1; 152/2 obręb 30. Powyższa uchwała została podjęta na podstawie przepisów ustawy z dnia 5 lipca 2018 r. o ułatwieniach w przygotowaniu i realizacji inwestycji mieszkaniowych oraz inwestycji towarzyszących. Stosownie do art. 8 ust. 3 tej ustawy uchwała o u</w:t>
      </w:r>
      <w:r>
        <w:rPr>
          <w:color w:val="000000"/>
          <w:szCs w:val="20"/>
          <w:u w:color="000000"/>
        </w:rPr>
        <w:t>staleniu lokalizacji inwestycji mieszkaniowej wygasa, jeżeli przed upływem 3 lat od dnia opublikowania uchwały w wojewódzkim dzienniku urzędowym decyzja o pozwoleniu na budowę inwestycji mieszkaniowej nie stała się ostateczna. Gmina informuje inwestora o w</w:t>
      </w:r>
      <w:r>
        <w:rPr>
          <w:color w:val="000000"/>
          <w:szCs w:val="20"/>
          <w:u w:color="000000"/>
        </w:rPr>
        <w:t>ygaśnięciu uchwały. Z treści pisma Kierownika Referatu Architektury i Budownictwa Urzędu Miasta Piotrkowa Trybunalskiego wynika, iż w odniesieniu do terenu objętego uchwałą w okresie trzyletnim od daty jej publikacji wpłynęły zgłoszenia inwestycji polegają</w:t>
      </w:r>
      <w:r>
        <w:rPr>
          <w:color w:val="000000"/>
          <w:szCs w:val="20"/>
          <w:u w:color="000000"/>
        </w:rPr>
        <w:t>cej na budowie sieci wodociągowej, sieci kanalizacyjnej sanitarnej i deszczowej i w odniesieniu do zgłoszeń budowlanych wydane zostało zaświadczenie o braku podstaw do wniesienia sprzeciwu dla ww. zamierzenia budowlanego. Prawo budowlane w odniesieniu do s</w:t>
      </w:r>
      <w:r>
        <w:rPr>
          <w:color w:val="000000"/>
          <w:szCs w:val="20"/>
          <w:u w:color="000000"/>
        </w:rPr>
        <w:t xml:space="preserve">zeregu obiektów i robót budowlanych odstępuje od obowiązku wydawania pozwoleń na budowę i zastępuje je zgłoszeniami dokonywanymi przez inwestorów, w związku z czym zgłoszenie budowlane należy traktować na równi z pozwoleniem na budowę. Zgłoszenie wywołuje </w:t>
      </w:r>
      <w:r>
        <w:rPr>
          <w:color w:val="000000"/>
          <w:szCs w:val="20"/>
          <w:u w:color="000000"/>
        </w:rPr>
        <w:t xml:space="preserve">bowiem identyczne jak pozwolenie budowlane skutki prawne w odniesieniu do obiektów i robót budowlanych ściśle wymienionych w przepisach prawa budowlanego. Biorąc powyższe pod uwagę uznać należy, że Uchwała nr IX/122/19 Rady Miasta Piotrkowa Trybunalskiego </w:t>
      </w:r>
      <w:r>
        <w:rPr>
          <w:color w:val="000000"/>
          <w:szCs w:val="20"/>
          <w:u w:color="000000"/>
        </w:rPr>
        <w:t>z dnia 26 czerwca 2019 r. w sprawie ustalenia lokalizacji inwestycji mieszkaniowej przy ul. Energetyków jest obowiązująca i tym samym możliwe jest dokonanie jej zmiany.</w:t>
      </w:r>
    </w:p>
    <w:p w14:paraId="6E0C47EA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W dniu 15.02.2023 r. wpłynął wniosek Pana Mariusza </w:t>
      </w:r>
      <w:proofErr w:type="spellStart"/>
      <w:r>
        <w:rPr>
          <w:color w:val="000000"/>
          <w:szCs w:val="20"/>
          <w:u w:color="000000"/>
        </w:rPr>
        <w:t>Prochonia</w:t>
      </w:r>
      <w:proofErr w:type="spellEnd"/>
      <w:r>
        <w:rPr>
          <w:color w:val="000000"/>
          <w:szCs w:val="20"/>
          <w:u w:color="000000"/>
        </w:rPr>
        <w:t xml:space="preserve"> o dokonanie zmiany w Uchwa</w:t>
      </w:r>
      <w:r>
        <w:rPr>
          <w:color w:val="000000"/>
          <w:szCs w:val="20"/>
          <w:u w:color="000000"/>
        </w:rPr>
        <w:t>le nr IX/122/19 Rady Miasta Piotrkowa Trybunalskiego z dnia 26 czerwca 2019 r. w sprawie ustalenia lokalizacji inwestycji mieszkaniowej przy ul. Energetyków w Piotrkowie Trybunalskim. Zakres zmiany dotyczy korekty załącznika graficznego nr 2 do ww. uchwały</w:t>
      </w:r>
      <w:r>
        <w:rPr>
          <w:color w:val="000000"/>
          <w:szCs w:val="20"/>
          <w:u w:color="000000"/>
        </w:rPr>
        <w:t xml:space="preserve"> oraz ilości projektowanych miejsc postojowych. Do wniosku została dołączona decyzja o środowiskowych uwarunkowaniach z dnia 27.10.2022 r. znak DOP.6220.16.8.2022.KS określająca warunki i parametry planowanego przedsięwzięcia, dla których orzeczono możliwo</w:t>
      </w:r>
      <w:r>
        <w:rPr>
          <w:color w:val="000000"/>
          <w:szCs w:val="20"/>
          <w:u w:color="000000"/>
        </w:rPr>
        <w:t>ść realizacji i stwierdzono brak potrzeby przeprowadzania oceny oddziaływania na środowisko. Zgodnie z § 3 ust. 1 pkt 58 lit. b rozporządzenia Rady Ministrów z dnia 10 września 2019 r. w sprawie przedsięwzięć mogących znacząco oddziaływać na środowisko (Dz</w:t>
      </w:r>
      <w:r>
        <w:rPr>
          <w:color w:val="000000"/>
          <w:szCs w:val="20"/>
          <w:u w:color="000000"/>
        </w:rPr>
        <w:t xml:space="preserve">. U. z 2019 r. poz. 1839 ze zm.) do przedsięwzięć mogących potencjalnie znacząco oddziaływać na środowisko zalicza się </w:t>
      </w:r>
      <w:r>
        <w:rPr>
          <w:i/>
          <w:color w:val="000000"/>
          <w:szCs w:val="20"/>
          <w:u w:color="000000"/>
        </w:rPr>
        <w:t>„garaże, parkingi samochodowe lub zespoły parkingów, w tym na potrzeby planowanych, realizowanych lub zrealizowanych przedsięwzięć, o któ</w:t>
      </w:r>
      <w:r>
        <w:rPr>
          <w:i/>
          <w:color w:val="000000"/>
          <w:szCs w:val="20"/>
          <w:u w:color="000000"/>
        </w:rPr>
        <w:t>rych mowa w pkt 52, 54-57 i 59, wraz z towarzyszącą im infrastrukturą, o powierzchni użytkowej nie mniejszej niż: 0,5 ha na obszarach innych niż wymienione w lit. a – przy czym przez powierzchnię użytkową rozumie się sumę powierzchni zabudowy i powierzchni</w:t>
      </w:r>
      <w:r>
        <w:rPr>
          <w:i/>
          <w:color w:val="000000"/>
          <w:szCs w:val="20"/>
          <w:u w:color="000000"/>
        </w:rPr>
        <w:t xml:space="preserve"> zajętej przez pozostałe kondygnacje nadziemne i podziemne mierzone po obrysie zewnętrznym rzutu pionowego obiektu budowlanego”. </w:t>
      </w:r>
    </w:p>
    <w:p w14:paraId="682FBB2A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Załączona decyzja środowiskowa umożliwia realizację parkingów o łącznej powierzchni użytkowej do 5300 m</w:t>
      </w:r>
      <w:r>
        <w:rPr>
          <w:color w:val="000000"/>
          <w:szCs w:val="20"/>
          <w:u w:color="000000"/>
          <w:vertAlign w:val="superscript"/>
        </w:rPr>
        <w:t xml:space="preserve">2 </w:t>
      </w:r>
      <w:r>
        <w:rPr>
          <w:color w:val="000000"/>
          <w:szCs w:val="20"/>
          <w:u w:color="000000"/>
        </w:rPr>
        <w:t>(parkingi naziemne o </w:t>
      </w:r>
      <w:r>
        <w:rPr>
          <w:color w:val="000000"/>
          <w:szCs w:val="20"/>
          <w:u w:color="000000"/>
        </w:rPr>
        <w:t>powierzchni użytkowej do 1300 m</w:t>
      </w:r>
      <w:r>
        <w:rPr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  <w:u w:color="000000"/>
        </w:rPr>
        <w:t>, parkingi podziemne o powierzchni użytkowej do 4000 m</w:t>
      </w:r>
      <w:r>
        <w:rPr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  <w:u w:color="000000"/>
        </w:rPr>
        <w:t xml:space="preserve"> /parkingi podziemne występują pod budynkami oraz terenami utwardzonymi i zielonymi/). </w:t>
      </w:r>
    </w:p>
    <w:p w14:paraId="0A2C2E7A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Wniosek został sprawdzony pod kątem spełnienia wszystkich wymagań formalnych i na</w:t>
      </w:r>
      <w:r>
        <w:rPr>
          <w:color w:val="000000"/>
          <w:szCs w:val="20"/>
          <w:u w:color="000000"/>
        </w:rPr>
        <w:t>stępnie zgodnie z art. 7 ust. 10 zamieszczony wraz z dołączonymi do niego dokumentami na stronie Biuletynu Informacji Publicznej Urzędu Miasta Piotrkowa Trybunalskiego oraz na stronie Biuletynu Informacji Publicznej Pracowni Planowania Przestrzennego w Pio</w:t>
      </w:r>
      <w:r>
        <w:rPr>
          <w:color w:val="000000"/>
          <w:szCs w:val="20"/>
          <w:u w:color="000000"/>
        </w:rPr>
        <w:t>trkowie Trybunalskim wraz z Ogłoszeniem Prezydenta Miasta Piotrkowa Trybunalskiego określającym formę, miejsce i termin składania uwag do wniosku. Informację o zamieszczeniu wniosku podano również do publicznej wiadomości poprzez wywieszenie ogłoszenia Pre</w:t>
      </w:r>
      <w:r>
        <w:rPr>
          <w:color w:val="000000"/>
          <w:szCs w:val="20"/>
          <w:u w:color="000000"/>
        </w:rPr>
        <w:t>zydenta Miasta Piotrkowa Trybunalskiego na tablicach ogłoszeń Urzędu Miasta Piotrkowa Trybunalskiego i Pracowni Planowania Przestrzennego w Piotrkowie Trybunalskim. Po zamieszczeniu wniosku działając na podstawie art. 7 ust. 12 i 13 zwrócono się z prośbą d</w:t>
      </w:r>
      <w:r>
        <w:rPr>
          <w:color w:val="000000"/>
          <w:szCs w:val="20"/>
          <w:u w:color="000000"/>
        </w:rPr>
        <w:t xml:space="preserve">o odpowiednich organów o przedstawienie opinii oraz na podstawie art. 7 ust 14 i 15 o uzgodnienie niniejszego wniosku w terminie </w:t>
      </w:r>
      <w:r>
        <w:rPr>
          <w:color w:val="000000"/>
          <w:szCs w:val="20"/>
          <w:u w:color="000000"/>
        </w:rPr>
        <w:lastRenderedPageBreak/>
        <w:t>21 dni od dnia otrzymania powiadomienia, z pouczeniem, że niezajęcie stanowiska w wyznaczonym terminie uznaje się za brak zastr</w:t>
      </w:r>
      <w:r>
        <w:rPr>
          <w:color w:val="000000"/>
          <w:szCs w:val="20"/>
          <w:u w:color="000000"/>
        </w:rPr>
        <w:t>zeżeń bądź uzgodnienie wniosku.</w:t>
      </w:r>
    </w:p>
    <w:p w14:paraId="5BFFA73B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Termin wnoszenia uwag oraz wydania opinii bądź uzgodnień upłynął w dniu 17.03.2023 r.</w:t>
      </w:r>
    </w:p>
    <w:p w14:paraId="79BF6303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Stanowisko dotyczące wniosku zostało zajęte przez:</w:t>
      </w:r>
    </w:p>
    <w:p w14:paraId="3E466F76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·Regionalną Dyrekcję Ochrony Środowiska w Łodzi - w piśmie z dnia 13.03.2023 r. znak WP</w:t>
      </w:r>
      <w:r>
        <w:rPr>
          <w:color w:val="000000"/>
          <w:szCs w:val="20"/>
          <w:u w:color="000000"/>
        </w:rPr>
        <w:t>N.612.201.2023.MB stwierdzono, że teren objęty przedmiotowym wnioskiem znajduje się poza granicami obszarów objętych ochroną na podstawie przepisów o ochronie przyrody, wymienionych w art. 6 ust. 1 ustawy z dnia 16 kwietnia 2004 r. o ochronie przyrody (Dz.</w:t>
      </w:r>
      <w:r>
        <w:rPr>
          <w:color w:val="000000"/>
          <w:szCs w:val="20"/>
          <w:u w:color="000000"/>
        </w:rPr>
        <w:t> U. z 2022 r. poz. 916 ze zm.), ponadto dla inwestycji została wydana decyzja o środowiskowych uwarunkowaniach z 27 października 2022 r. znak: DOP.6220.16.8.2022.KS w związku z czym wydanie opinii w powyższej sprawie jest bezzasadne.</w:t>
      </w:r>
    </w:p>
    <w:p w14:paraId="2F2EE7FF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·Centralne Wojskowe Ce</w:t>
      </w:r>
      <w:r>
        <w:rPr>
          <w:color w:val="000000"/>
          <w:szCs w:val="20"/>
          <w:u w:color="000000"/>
        </w:rPr>
        <w:t>ntrum Rekrutacji Ośrodek Zamiejscowy w Łodzi - w piśmie z dnia 23.02.2023 r. znak CWCR_OZ_Łódź-WWiZ.0732.59.2023 stwierdzono brak potrzeby wniesienia uwag i wniosków do projektowanej inwestycji.</w:t>
      </w:r>
    </w:p>
    <w:p w14:paraId="3586EB38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·Marszałka Województwa Łódzkiego – w piśmie z dnia 10.03.2023</w:t>
      </w:r>
      <w:r>
        <w:rPr>
          <w:color w:val="000000"/>
          <w:szCs w:val="20"/>
          <w:u w:color="000000"/>
        </w:rPr>
        <w:t> r. znak: BPPWŁ.ZP.405.4.2023 stwierdzono, że przedsięwzięcie będzie realizowane na obszarze objętym obowiązującym miejscowym planem zagospodarowania przestrzennego w związku z czym brak jest spełnienia przesłanki z art. 7 ust. 12 pkt 11 ustawy z dnia 5 li</w:t>
      </w:r>
      <w:r>
        <w:rPr>
          <w:color w:val="000000"/>
          <w:szCs w:val="20"/>
          <w:u w:color="000000"/>
        </w:rPr>
        <w:t>pca 2018 r. o ułatwieniach w przygotowaniu i realizacji inwestycji mieszkaniowych oraz inwestycji towarzyszących w zakresie możliwości zaopiniowania przedmiotowego projektu przez Marszałka Województwa Łódzkiego.</w:t>
      </w:r>
    </w:p>
    <w:p w14:paraId="13FA850F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·Zarząd Województwa Łódzkiego – w piśmie z d</w:t>
      </w:r>
      <w:r>
        <w:rPr>
          <w:color w:val="000000"/>
          <w:szCs w:val="20"/>
          <w:u w:color="000000"/>
        </w:rPr>
        <w:t>nia 9.03.2023 r. znak: BPPWŁ.ZP.405.4.2023 stwierdzono, że na dzień wydania pisma Województwo Łódzkie nie posiada audytu krajobrazowego, w związku z czym brak jest możliwości przeprowadzenia oceny przedłożonego wniosku i zaopiniowania go przez Zarząd Wojew</w:t>
      </w:r>
      <w:r>
        <w:rPr>
          <w:color w:val="000000"/>
          <w:szCs w:val="20"/>
          <w:u w:color="000000"/>
        </w:rPr>
        <w:t>ództwa Łódzkiego w zakresie, o którym mowa w art. 7 ust. 12 pkt 21 ustawy z dnia 5 lipca 2018 r. o ułatwieniach w przygotowaniu i realizacji inwestycji mieszkaniowych oraz inwestycji towarzyszących.</w:t>
      </w:r>
    </w:p>
    <w:p w14:paraId="0CCF4F64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·Wojewódzkiego Konserwatora Zabytków w Łodzi - decyzją z </w:t>
      </w:r>
      <w:r>
        <w:rPr>
          <w:color w:val="000000"/>
          <w:szCs w:val="20"/>
          <w:u w:color="000000"/>
        </w:rPr>
        <w:t>dnia 13.03.2023 r. znak WUOZ-PP.5151.170.2023.AD umorzono postępowanie w sprawie uzgodnienia wniosku, informując, że na wskazanym we wniosku obszarze nie znajduje się żadna z wymienionych form ochrony zabytków w rozumieniu art. 7 ustawy o ochronie zabytków</w:t>
      </w:r>
      <w:r>
        <w:rPr>
          <w:color w:val="000000"/>
          <w:szCs w:val="20"/>
          <w:u w:color="000000"/>
        </w:rPr>
        <w:t xml:space="preserve"> i opiece nad zabytkami oraz brak obiektów i obszarów ujętych w gminnej ewidencji zabytków. </w:t>
      </w:r>
    </w:p>
    <w:p w14:paraId="082578FD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·Państwowe Gospodarstwo Wodne Wody Polskie Regionalny Zarząd Gospodarki Wodnej w Warszawie – w piśmie z dnia 06.03.2023 r. znak: WA.RPU.0800.1.2023.zo-b stwierdzon</w:t>
      </w:r>
      <w:r>
        <w:rPr>
          <w:color w:val="000000"/>
          <w:szCs w:val="20"/>
          <w:u w:color="000000"/>
        </w:rPr>
        <w:t>o brak zastrzeżeń do przedłożonego wniosku.</w:t>
      </w:r>
    </w:p>
    <w:p w14:paraId="209F243B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·Miejską Komisję Urbanistyczno – Architektoniczną – w opinii z dnia 27.02.2023 r. stwierdzono brak uwag do przedłożonego wniosku.</w:t>
      </w:r>
    </w:p>
    <w:p w14:paraId="143DA641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·Państwowy Wojewódzki Inspektor Sanitarny w Łodzi – w piśmie z dnia 09.03.2023 r. </w:t>
      </w:r>
      <w:r>
        <w:rPr>
          <w:color w:val="000000"/>
          <w:szCs w:val="20"/>
          <w:u w:color="000000"/>
        </w:rPr>
        <w:t>znak ŁPWIS.NSOZNS.9022.92.2023.UR.AM pozytywnie zaopiniował lokalizację projektowanej inwestycji mieszkaniowej pod względem wymagań higienicznych i zdrowotnych, uwzględniając zmianę ilości miejsc parkingowych z 250 na 230 miejsc.</w:t>
      </w:r>
    </w:p>
    <w:p w14:paraId="1C1FD5A5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·Łódzki Urząd Wojewódzki w</w:t>
      </w:r>
      <w:r>
        <w:rPr>
          <w:color w:val="000000"/>
          <w:szCs w:val="20"/>
          <w:u w:color="000000"/>
        </w:rPr>
        <w:t> Łodzi – w piśmie z dnia 14.03.2023 r. znak GPB-I.745.17.2023MKo Wojewoda Łódzki odstąpił od wydania opinii w przedmiotowej sprawie z uwagi, że teren realizacji przedmiotowego przedsięwzięcia zlokalizowany będzie na obszarze objętym obowiązującym miejscowy</w:t>
      </w:r>
      <w:r>
        <w:rPr>
          <w:color w:val="000000"/>
          <w:szCs w:val="20"/>
          <w:u w:color="000000"/>
        </w:rPr>
        <w:t xml:space="preserve">m planem zagospodarowania przestrzennego. (Zgodnie z art. 7 ust. 12 pkt 11 ustawy Wojewoda </w:t>
      </w:r>
      <w:proofErr w:type="spellStart"/>
      <w:r>
        <w:rPr>
          <w:color w:val="000000"/>
          <w:szCs w:val="20"/>
          <w:u w:color="000000"/>
        </w:rPr>
        <w:t>Łodzki</w:t>
      </w:r>
      <w:proofErr w:type="spellEnd"/>
      <w:r>
        <w:rPr>
          <w:color w:val="000000"/>
          <w:szCs w:val="20"/>
          <w:u w:color="000000"/>
        </w:rPr>
        <w:t xml:space="preserve"> opiniuje w zakresie zadań rządowych albo samorządowych, służących realizacji inwestycji celu publicznego, o których mowa w art. 39 ust. 3 pkt 3 i art. 48 ust.</w:t>
      </w:r>
      <w:r>
        <w:rPr>
          <w:color w:val="000000"/>
          <w:szCs w:val="20"/>
          <w:u w:color="000000"/>
        </w:rPr>
        <w:t> 1 ustawy z dnia 27 marca 2003 r. o planowaniu i zagospodarowaniu przestrzennym – w odniesieniu do terenów nieobjętych obowiązującymi planami zagospodarowania przestrzennego).</w:t>
      </w:r>
    </w:p>
    <w:p w14:paraId="0C53E01B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wymaganym terminie stanowisko nie zostało zajęte przez:</w:t>
      </w:r>
    </w:p>
    <w:p w14:paraId="08C91207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·Komendę Wojewódzką Pa</w:t>
      </w:r>
      <w:r>
        <w:rPr>
          <w:color w:val="000000"/>
          <w:szCs w:val="20"/>
          <w:u w:color="000000"/>
        </w:rPr>
        <w:t>ństwowej Straży Pożarnej w Łodzi,</w:t>
      </w:r>
    </w:p>
    <w:p w14:paraId="24C53C16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·Agencję Bezpieczeństwa Wewnętrznego,</w:t>
      </w:r>
    </w:p>
    <w:p w14:paraId="3D9ECB8B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·Nadwiślański Oddział Straży Granicznej,</w:t>
      </w:r>
    </w:p>
    <w:p w14:paraId="0FF36C24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·Agencję Wywiadu,</w:t>
      </w:r>
    </w:p>
    <w:p w14:paraId="08884FFD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·Państwowe Gospodarstwo Wodne Wody Polskie Zarząd Zlewni w Piotrkowie Trybunalskim,</w:t>
      </w:r>
    </w:p>
    <w:p w14:paraId="70714525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·Referat Gospodarki Komunalnej i Ochrony </w:t>
      </w:r>
      <w:r>
        <w:rPr>
          <w:color w:val="000000"/>
          <w:szCs w:val="20"/>
          <w:u w:color="000000"/>
        </w:rPr>
        <w:t>Środowiska Urzędu Miasta Piotrkowa Trybunalskiego,</w:t>
      </w:r>
    </w:p>
    <w:p w14:paraId="44768B09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·Referat Geodezji, Kartografii i Katastru Urzędu Miasta Piotrkowa Trybunalskiego,</w:t>
      </w:r>
    </w:p>
    <w:p w14:paraId="12C0B602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·Urząd Lotnictwa Cywilnego w Warszawie,</w:t>
      </w:r>
    </w:p>
    <w:p w14:paraId="0613271F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·Zarząd Dróg i Utrzymania Miasta w Piotrkowie Trybunalskim.</w:t>
      </w:r>
    </w:p>
    <w:p w14:paraId="27D0932D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Brak zajęcia stanowiska</w:t>
      </w:r>
      <w:r>
        <w:rPr>
          <w:b/>
          <w:color w:val="000000"/>
          <w:szCs w:val="20"/>
          <w:u w:color="000000"/>
        </w:rPr>
        <w:t xml:space="preserve"> w wymaganym terminie, zgodnie z art. 7 ust. 13 i 15 ustawy uznaje się za brak zastrzeżeń bądź uzgodnienie wniosku.</w:t>
      </w:r>
    </w:p>
    <w:p w14:paraId="07AAE0B2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val="single" w:color="000000"/>
        </w:rPr>
        <w:t>W wymaganym terminie nie zostały wniesione uwagi do wniosku.</w:t>
      </w:r>
    </w:p>
    <w:p w14:paraId="417ABABF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Wszystkie opinie i  uzgodnienia zostały przekazane inwestorowi, oraz  zgodnie z</w:t>
      </w:r>
      <w:r>
        <w:rPr>
          <w:b/>
          <w:color w:val="000000"/>
          <w:szCs w:val="20"/>
          <w:u w:color="000000"/>
        </w:rPr>
        <w:t xml:space="preserve"> art. 7 ust. 17 ustawy wraz z projektem uchwały przedkłada się Radzie Miasta. </w:t>
      </w:r>
    </w:p>
    <w:p w14:paraId="1C5B0010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ab/>
      </w:r>
    </w:p>
    <w:p w14:paraId="6A1E3502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Na podstawie złożonego wniosku, uwzględniając stanowiska organów opiniujących i uzgadniających, został sporządzony projekt zmiany Uchwały nr IX/122/19 Rady Miasta Piotrkowa </w:t>
      </w:r>
      <w:r>
        <w:rPr>
          <w:color w:val="000000"/>
          <w:szCs w:val="20"/>
          <w:u w:color="000000"/>
        </w:rPr>
        <w:t>Trybunalskiego z dnia 26 czerwca 2019 r. w sprawie ustalenia lokalizacji inwestycji mieszkaniowej przy ul. Energetyków w Piotrkowie Trybunalskim w § 8 pkt 8 lit. a) oraz w zakresie załącznika nr 2. Załącznik graficzny do uchwały jest  tożsamy z załącznikie</w:t>
      </w:r>
      <w:r>
        <w:rPr>
          <w:color w:val="000000"/>
          <w:szCs w:val="20"/>
          <w:u w:color="000000"/>
        </w:rPr>
        <w:t>m wnioskodawcy, co wynika również z braku w ustawie trybu oceny bądź modyfikacji przez organ prowadzący koncepcji urbanistyczno – architektonicznej złożonej przez inwestora. Planowany sposób zagospodarowania terenu wymagany w uchwale jest de facto planowan</w:t>
      </w:r>
      <w:r>
        <w:rPr>
          <w:color w:val="000000"/>
          <w:szCs w:val="20"/>
          <w:u w:color="000000"/>
        </w:rPr>
        <w:t>ym sposobem zagospodarowania terenu przewidzianym przez wnioskodawcę.</w:t>
      </w:r>
    </w:p>
    <w:p w14:paraId="23E48DB5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  art. 7  ust. 17 ustawy projekt uchwały został przedłożony Radzie Miasta wraz  z  wszystkimi opiniami oraz wynikiem dokonanych uzgodnień.</w:t>
      </w:r>
    </w:p>
    <w:p w14:paraId="121D1586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Głównym celem ustawy z dnia 5 lipca 20</w:t>
      </w:r>
      <w:r>
        <w:rPr>
          <w:color w:val="000000"/>
          <w:szCs w:val="20"/>
          <w:u w:color="000000"/>
        </w:rPr>
        <w:t>18 r. o ułatwieniach w przygotowaniu i realizacji inwestycji mieszkaniowych oraz inwestycji towarzyszących (Dz. U. z 2021 r. poz. 1538) jest wprowadzenie regulacji umożliwiających znaczące przyspieszenie przygotowania i realizacji inwestycji mieszkaniowych</w:t>
      </w:r>
      <w:r>
        <w:rPr>
          <w:color w:val="000000"/>
          <w:szCs w:val="20"/>
          <w:u w:color="000000"/>
        </w:rPr>
        <w:t xml:space="preserve"> oraz inwestycji towarzyszących. Jest  to  akt prawny poświęcony wyłącznie przygotowaniu i realizacji określonego rodzaju inwestycji (specustawa) z pominięciem przepisów ustawy o planowaniu i zagospodarowaniu przestrzennym. W celu wyeliminowania zastrzeżeń</w:t>
      </w:r>
      <w:r>
        <w:rPr>
          <w:color w:val="000000"/>
          <w:szCs w:val="20"/>
          <w:u w:color="000000"/>
        </w:rPr>
        <w:t xml:space="preserve"> co do lokalizacji inwestycji organ wykonawczy gminy poddaje wniosek również ocenie wyspecjalizowanych organów, które w postaci opinii lub uzgodnień w zakresie swojej właściwości dokonują przedstawienia informacji o możliwych zagrożeniach czy skutkach real</w:t>
      </w:r>
      <w:r>
        <w:rPr>
          <w:color w:val="000000"/>
          <w:szCs w:val="20"/>
          <w:u w:color="000000"/>
        </w:rPr>
        <w:t>izacji inwestycji. Ostatecznie Rada Miasta ocenia wniosek inwestora biorąc pod uwagę stan zaspokojenia potrzeb mieszkaniowych na terenie gminy, potrzeby i możliwości rozwoju gminy wynikające z ustaleń studium uwarunkowań i kierunków zagospodarowania przest</w:t>
      </w:r>
      <w:r>
        <w:rPr>
          <w:color w:val="000000"/>
          <w:szCs w:val="20"/>
          <w:u w:color="000000"/>
        </w:rPr>
        <w:t>rzennego, opinie i uzgodnienia wyspecjalizowanych organów oraz stanowisko mieszkańców. Rola organu wykonawczego gminy w trybie specustawy ogranicza się do prowadzenia procedury administracyjnej (przyjęcie wniosku, zbadanie kompletności wniosku pod kątem br</w:t>
      </w:r>
      <w:r>
        <w:rPr>
          <w:color w:val="000000"/>
          <w:szCs w:val="20"/>
          <w:u w:color="000000"/>
        </w:rPr>
        <w:t>aków formalnych, publikacja wniosku, wystąpienie o opinie i uzgodnienia, przekazywanie opinii, uzgodnień i uwag inwestorowi, przedłożenie projektu uchwały Radzie Miasta, przekazanie uchwały inwestorowi).</w:t>
      </w:r>
    </w:p>
    <w:p w14:paraId="00CF7513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Podczas procedowania zmienianej Uchwały nr IX/122/19</w:t>
      </w:r>
      <w:r>
        <w:rPr>
          <w:color w:val="000000"/>
          <w:szCs w:val="20"/>
          <w:u w:color="000000"/>
        </w:rPr>
        <w:t xml:space="preserve"> Rady Miasta Piotrkowa Trybunalskiego z dnia 26 czerwca 2019 r. w sprawie ustalenia lokalizacji inwestycji mieszkaniowej przy ul. Energetyków w Piotrkowie Trybunalskim, w celu umożliwienia Radzie Miasta zajęcia stanowiska przedstawiono obecne zagospodarowa</w:t>
      </w:r>
      <w:r>
        <w:rPr>
          <w:color w:val="000000"/>
          <w:szCs w:val="20"/>
          <w:u w:color="000000"/>
        </w:rPr>
        <w:t>nie terenu inwestycji, uwarunkowania planistyczne oraz wynikające z ustawy przesłanki jakie inwestycja musi spełnić, aby mogła być zrealizowana w jej trybie. Obecna zmiana uchwały dotyczy jedynie zmniejszenia liczby miejsc postojowych oraz związana z tym z</w:t>
      </w:r>
      <w:r>
        <w:rPr>
          <w:color w:val="000000"/>
          <w:szCs w:val="20"/>
          <w:u w:color="000000"/>
        </w:rPr>
        <w:t>miana załącznika graficznego, wobec tego ponownej analizy wymaga jedynie zgodność wnioskowanych miejsc postojowych ze wskaźnikiem wynikającym ze Studium uwarunkowań i kierunków zagospodarowania przestrzennego Miasta Piotrkowa Trybunalskiego.</w:t>
      </w:r>
    </w:p>
    <w:p w14:paraId="31CB00A4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Wskaźnik liczb</w:t>
      </w:r>
      <w:r>
        <w:rPr>
          <w:b/>
          <w:color w:val="000000"/>
          <w:szCs w:val="20"/>
          <w:u w:color="000000"/>
        </w:rPr>
        <w:t>y miejsc postojowych na terenie miasta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3430"/>
        <w:gridCol w:w="1645"/>
        <w:gridCol w:w="1645"/>
      </w:tblGrid>
      <w:tr w:rsidR="002369B3" w14:paraId="26872B77" w14:textId="77777777">
        <w:trPr>
          <w:trHeight w:val="415"/>
        </w:trPr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69E5" w14:textId="77777777" w:rsidR="002369B3" w:rsidRDefault="0048204F">
            <w:pPr>
              <w:jc w:val="center"/>
              <w:rPr>
                <w:color w:val="000000"/>
                <w:szCs w:val="20"/>
                <w:u w:color="000000"/>
              </w:rPr>
            </w:pPr>
            <w:r>
              <w:rPr>
                <w:b/>
                <w:sz w:val="20"/>
                <w:szCs w:val="20"/>
              </w:rPr>
              <w:t>Rodzaj obiektu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651F" w14:textId="77777777" w:rsidR="002369B3" w:rsidRDefault="0048204F">
            <w:pPr>
              <w:jc w:val="center"/>
              <w:rPr>
                <w:color w:val="000000"/>
                <w:szCs w:val="20"/>
                <w:u w:color="000000"/>
              </w:rPr>
            </w:pPr>
            <w:r>
              <w:rPr>
                <w:b/>
                <w:sz w:val="20"/>
                <w:szCs w:val="20"/>
              </w:rPr>
              <w:t>Jednostka odniesienia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4036" w14:textId="77777777" w:rsidR="002369B3" w:rsidRDefault="0048204F">
            <w:pPr>
              <w:jc w:val="center"/>
              <w:rPr>
                <w:color w:val="000000"/>
                <w:szCs w:val="20"/>
                <w:u w:color="000000"/>
              </w:rPr>
            </w:pPr>
            <w:r>
              <w:rPr>
                <w:b/>
                <w:sz w:val="20"/>
                <w:szCs w:val="20"/>
              </w:rPr>
              <w:t>Liczba miejsc parkingowych</w:t>
            </w:r>
          </w:p>
        </w:tc>
      </w:tr>
      <w:tr w:rsidR="002369B3" w14:paraId="0367C1E2" w14:textId="77777777">
        <w:trPr>
          <w:trHeight w:val="414"/>
        </w:trPr>
        <w:tc>
          <w:tcPr>
            <w:tcW w:w="3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3186" w14:textId="77777777" w:rsidR="002369B3" w:rsidRDefault="002369B3">
            <w:pPr>
              <w:jc w:val="center"/>
              <w:rPr>
                <w:color w:val="000000"/>
                <w:szCs w:val="20"/>
                <w:u w:color="000000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AB7D" w14:textId="77777777" w:rsidR="002369B3" w:rsidRDefault="002369B3">
            <w:pPr>
              <w:jc w:val="center"/>
              <w:rPr>
                <w:color w:val="000000"/>
                <w:szCs w:val="20"/>
                <w:u w:color="00000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8AA9" w14:textId="77777777" w:rsidR="002369B3" w:rsidRDefault="0048204F">
            <w:pPr>
              <w:jc w:val="center"/>
              <w:rPr>
                <w:color w:val="000000"/>
                <w:szCs w:val="20"/>
                <w:u w:color="000000"/>
              </w:rPr>
            </w:pPr>
            <w:r>
              <w:rPr>
                <w:b/>
                <w:sz w:val="20"/>
                <w:szCs w:val="20"/>
              </w:rPr>
              <w:t>Obszar centrum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74B3" w14:textId="77777777" w:rsidR="002369B3" w:rsidRDefault="0048204F">
            <w:pPr>
              <w:jc w:val="center"/>
              <w:rPr>
                <w:color w:val="000000"/>
                <w:szCs w:val="20"/>
                <w:u w:color="000000"/>
              </w:rPr>
            </w:pPr>
            <w:r>
              <w:rPr>
                <w:b/>
                <w:sz w:val="20"/>
                <w:szCs w:val="20"/>
              </w:rPr>
              <w:t>Pozostały obszar miasta</w:t>
            </w:r>
          </w:p>
        </w:tc>
      </w:tr>
      <w:tr w:rsidR="002369B3" w14:paraId="06DB1552" w14:textId="77777777">
        <w:trPr>
          <w:trHeight w:val="405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C030" w14:textId="77777777" w:rsidR="002369B3" w:rsidRDefault="0048204F">
            <w:pPr>
              <w:rPr>
                <w:color w:val="000000"/>
                <w:szCs w:val="20"/>
                <w:u w:color="000000"/>
              </w:rPr>
            </w:pPr>
            <w:r>
              <w:rPr>
                <w:sz w:val="20"/>
                <w:szCs w:val="20"/>
              </w:rPr>
              <w:t>Budownictwo mieszkaniowe intensywne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B70C" w14:textId="77777777" w:rsidR="002369B3" w:rsidRDefault="0048204F">
            <w:pPr>
              <w:rPr>
                <w:color w:val="000000"/>
                <w:szCs w:val="20"/>
                <w:u w:color="000000"/>
              </w:rPr>
            </w:pPr>
            <w:r>
              <w:rPr>
                <w:sz w:val="20"/>
                <w:szCs w:val="20"/>
              </w:rPr>
              <w:t>1000 mieszkańców lub jedno mieszkanie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1761" w14:textId="77777777" w:rsidR="002369B3" w:rsidRDefault="0048204F">
            <w:pPr>
              <w:rPr>
                <w:color w:val="000000"/>
                <w:szCs w:val="20"/>
                <w:u w:color="000000"/>
              </w:rPr>
            </w:pPr>
            <w:r>
              <w:rPr>
                <w:sz w:val="20"/>
                <w:szCs w:val="20"/>
              </w:rPr>
              <w:t>200-250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E424" w14:textId="77777777" w:rsidR="002369B3" w:rsidRDefault="0048204F">
            <w:pPr>
              <w:rPr>
                <w:color w:val="000000"/>
                <w:szCs w:val="20"/>
                <w:u w:color="000000"/>
              </w:rPr>
            </w:pPr>
            <w:r>
              <w:rPr>
                <w:sz w:val="20"/>
                <w:szCs w:val="20"/>
              </w:rPr>
              <w:t xml:space="preserve">350-400 lub 1,5 </w:t>
            </w:r>
            <w:proofErr w:type="spellStart"/>
            <w:r>
              <w:rPr>
                <w:sz w:val="20"/>
                <w:szCs w:val="20"/>
              </w:rPr>
              <w:t>mp</w:t>
            </w:r>
            <w:proofErr w:type="spellEnd"/>
            <w:r>
              <w:rPr>
                <w:sz w:val="20"/>
                <w:szCs w:val="20"/>
              </w:rPr>
              <w:t xml:space="preserve">. na </w:t>
            </w:r>
            <w:r>
              <w:rPr>
                <w:sz w:val="20"/>
                <w:szCs w:val="20"/>
              </w:rPr>
              <w:t>mieszkanie</w:t>
            </w:r>
          </w:p>
        </w:tc>
      </w:tr>
    </w:tbl>
    <w:p w14:paraId="1DCD8EE8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val="single" w:color="000000"/>
        </w:rPr>
        <w:t xml:space="preserve">Liczbę miejsc postojowych przyjęto w uchwale zgodnie ze studium tj. 350-400 miejsc na 1000 mieszkańców. Planowana liczba mieszkańców wynosi od 482 do 511 (wyliczona na podstawie art. 17 ust. 9 ustawy jako iloraz powierzchni użytkowej mieszkań </w:t>
      </w:r>
      <w:r>
        <w:rPr>
          <w:color w:val="000000"/>
          <w:szCs w:val="20"/>
          <w:u w:val="single" w:color="000000"/>
        </w:rPr>
        <w:t>i wskaźnika wynoszącego 28 m</w:t>
      </w:r>
      <w:r>
        <w:rPr>
          <w:color w:val="000000"/>
          <w:szCs w:val="20"/>
          <w:u w:val="single" w:color="000000"/>
          <w:vertAlign w:val="superscript"/>
        </w:rPr>
        <w:t>2</w:t>
      </w:r>
      <w:r>
        <w:rPr>
          <w:color w:val="000000"/>
          <w:szCs w:val="20"/>
          <w:u w:val="single" w:color="000000"/>
        </w:rPr>
        <w:t>). Dla tak ustalonej liczby mieszkańców zgodnie z obowiązującym studium liczba miejsc parkingowych powinna wynosić (po zaokrągleniu) od 169 do 204 natomiast zgodnie z wnioskiem przewidzianych jest 230 miejsc parkingowych (wewnę</w:t>
      </w:r>
      <w:r>
        <w:rPr>
          <w:color w:val="000000"/>
          <w:szCs w:val="20"/>
          <w:u w:val="single" w:color="000000"/>
        </w:rPr>
        <w:t>trznych i zewnętrznych), a więc więcej niż wynika ze Studium.</w:t>
      </w:r>
    </w:p>
    <w:p w14:paraId="71F022E2" w14:textId="77777777" w:rsidR="002369B3" w:rsidRDefault="0048204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ab/>
      </w:r>
      <w:r>
        <w:rPr>
          <w:b/>
          <w:color w:val="000000"/>
          <w:szCs w:val="20"/>
          <w:u w:color="000000"/>
        </w:rPr>
        <w:t>Po stwierdzeniu, że złożony wniosek nie narusza ustaleń Studium, należy podkreślić również, że planowana inwestycja realizuje politykę przestrzenną Miasta Piotrkowa Trybunalskiego wyrażoną w ob</w:t>
      </w:r>
      <w:r>
        <w:rPr>
          <w:b/>
          <w:color w:val="000000"/>
          <w:szCs w:val="20"/>
          <w:u w:color="000000"/>
        </w:rPr>
        <w:t>owiązującym Studium Uwarunkowań i Kierunków Zagospodarowania Przestrzennego Miasta Piotrkowa Trybunalskiego.</w:t>
      </w:r>
    </w:p>
    <w:sectPr w:rsidR="002369B3">
      <w:footerReference w:type="default" r:id="rId12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E7333" w14:textId="77777777" w:rsidR="009A3E3E" w:rsidRDefault="009A3E3E">
      <w:r>
        <w:separator/>
      </w:r>
    </w:p>
  </w:endnote>
  <w:endnote w:type="continuationSeparator" w:id="0">
    <w:p w14:paraId="5018F59A" w14:textId="77777777" w:rsidR="009A3E3E" w:rsidRDefault="009A3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369B3" w14:paraId="0551374E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00C3647" w14:textId="77777777" w:rsidR="002369B3" w:rsidRDefault="0048204F">
          <w:pPr>
            <w:jc w:val="left"/>
            <w:rPr>
              <w:sz w:val="18"/>
            </w:rPr>
          </w:pPr>
          <w:r>
            <w:rPr>
              <w:sz w:val="18"/>
            </w:rPr>
            <w:t>Id: BFCA931F-8985-4D0A-A85C-49EC63ABA61F.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F8B127E" w14:textId="77777777" w:rsidR="002369B3" w:rsidRDefault="0048204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7C36269" w14:textId="77777777" w:rsidR="002369B3" w:rsidRDefault="002369B3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369B3" w14:paraId="2222C839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59D68F0" w14:textId="77777777" w:rsidR="002369B3" w:rsidRDefault="0048204F">
          <w:pPr>
            <w:jc w:val="left"/>
            <w:rPr>
              <w:sz w:val="18"/>
            </w:rPr>
          </w:pPr>
          <w:r>
            <w:rPr>
              <w:sz w:val="18"/>
            </w:rPr>
            <w:t>Id: BFCA931F-8985-4D0A-A85C-49EC63ABA61F.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2CF9F65" w14:textId="77777777" w:rsidR="002369B3" w:rsidRDefault="0048204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2B680727" w14:textId="77777777" w:rsidR="002369B3" w:rsidRDefault="002369B3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369B3" w14:paraId="07964E6E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06FFAAB" w14:textId="77777777" w:rsidR="002369B3" w:rsidRDefault="0048204F">
          <w:pPr>
            <w:jc w:val="left"/>
            <w:rPr>
              <w:sz w:val="18"/>
            </w:rPr>
          </w:pPr>
          <w:r>
            <w:rPr>
              <w:sz w:val="18"/>
            </w:rPr>
            <w:t>Id: BFCA931F-8985-4D0A-A85C-49EC63ABA61F.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2F04BBC" w14:textId="374E8ECC" w:rsidR="002369B3" w:rsidRDefault="0048204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2C4B916D" w14:textId="77777777" w:rsidR="002369B3" w:rsidRDefault="002369B3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D23CF" w14:textId="77777777" w:rsidR="009A3E3E" w:rsidRDefault="009A3E3E">
      <w:r>
        <w:separator/>
      </w:r>
    </w:p>
  </w:footnote>
  <w:footnote w:type="continuationSeparator" w:id="0">
    <w:p w14:paraId="0C8150BF" w14:textId="77777777" w:rsidR="009A3E3E" w:rsidRDefault="009A3E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2369B3"/>
    <w:rsid w:val="003810AC"/>
    <w:rsid w:val="0048204F"/>
    <w:rsid w:val="009A3E3E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32EA2D"/>
  <w15:docId w15:val="{48DD04A4-538D-48B9-9A5F-1514D9E5D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2266BBAF-1A03-44A9-B749-1FE9CE9F9ADE.jp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Zalacznik509CBDD1-3A0D-440A-852C-A3FEF2F8865C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2243</Words>
  <Characters>14736</Characters>
  <Application>Microsoft Office Word</Application>
  <DocSecurity>4</DocSecurity>
  <Lines>122</Lines>
  <Paragraphs>33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Miasta Piotrkowa Trybunalskiego</Company>
  <LinksUpToDate>false</LinksUpToDate>
  <CharactersWithSpaces>16946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zmiany uchwały nr IX/122/19 Rady Miasta Piotrkowa Trybunalskiego z^dnia 26^czerwca 2019^r. w^sprawie ustalenia lokalizacji inwestycji mieszkaniowej przy ul. Energetyków w^Piotrkowie Trybunalskim</dc:subject>
  <dc:creator>StebKa</dc:creator>
  <cp:lastModifiedBy>Mróz Monika</cp:lastModifiedBy>
  <cp:revision>2</cp:revision>
  <dcterms:created xsi:type="dcterms:W3CDTF">2023-03-28T08:44:00Z</dcterms:created>
  <dcterms:modified xsi:type="dcterms:W3CDTF">2023-03-28T08:44:00Z</dcterms:modified>
  <cp:category>Akt prawny</cp:category>
</cp:coreProperties>
</file>