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6677D" w:rsidRPr="000E1F79">
        <w:tc>
          <w:tcPr>
            <w:tcW w:w="10206" w:type="dxa"/>
            <w:tcBorders>
              <w:top w:val="nil"/>
              <w:left w:val="nil"/>
              <w:bottom w:val="nil"/>
              <w:right w:val="nil"/>
            </w:tcBorders>
            <w:tcMar>
              <w:top w:w="100" w:type="dxa"/>
            </w:tcMar>
          </w:tcPr>
          <w:p w:rsidR="00A77B3E" w:rsidRPr="000E1F79" w:rsidRDefault="000E1F79" w:rsidP="000E1F79">
            <w:pPr>
              <w:spacing w:line="360" w:lineRule="auto"/>
              <w:ind w:left="5669"/>
              <w:rPr>
                <w:rFonts w:ascii="Arial" w:hAnsi="Arial" w:cs="Arial"/>
                <w:i/>
                <w:sz w:val="24"/>
                <w:u w:val="thick"/>
              </w:rPr>
            </w:pPr>
            <w:r w:rsidRPr="000E1F79">
              <w:rPr>
                <w:rFonts w:ascii="Arial" w:hAnsi="Arial" w:cs="Arial"/>
                <w:i/>
                <w:sz w:val="24"/>
                <w:u w:val="thick"/>
              </w:rPr>
              <w:t>Projekt</w:t>
            </w:r>
          </w:p>
          <w:p w:rsidR="00A77B3E" w:rsidRPr="000E1F79" w:rsidRDefault="00A77B3E" w:rsidP="000E1F79">
            <w:pPr>
              <w:spacing w:line="360" w:lineRule="auto"/>
              <w:ind w:left="5669"/>
              <w:rPr>
                <w:rFonts w:ascii="Arial" w:hAnsi="Arial" w:cs="Arial"/>
                <w:i/>
                <w:sz w:val="24"/>
                <w:u w:val="thick"/>
              </w:rPr>
            </w:pPr>
          </w:p>
          <w:p w:rsidR="00A77B3E" w:rsidRPr="000E1F79" w:rsidRDefault="000E1F79" w:rsidP="000E1F79">
            <w:pPr>
              <w:spacing w:line="360" w:lineRule="auto"/>
              <w:ind w:left="5669"/>
              <w:rPr>
                <w:rFonts w:ascii="Arial" w:hAnsi="Arial" w:cs="Arial"/>
                <w:sz w:val="24"/>
              </w:rPr>
            </w:pPr>
            <w:r w:rsidRPr="000E1F79">
              <w:rPr>
                <w:rFonts w:ascii="Arial" w:hAnsi="Arial" w:cs="Arial"/>
                <w:sz w:val="24"/>
              </w:rPr>
              <w:t>z dnia  .......................                                                 Zatwierdzony przez .........................</w:t>
            </w:r>
          </w:p>
          <w:p w:rsidR="00A77B3E" w:rsidRPr="000E1F79" w:rsidRDefault="00A77B3E" w:rsidP="000E1F79">
            <w:pPr>
              <w:spacing w:line="360" w:lineRule="auto"/>
              <w:ind w:left="5669"/>
              <w:rPr>
                <w:rFonts w:ascii="Arial" w:hAnsi="Arial" w:cs="Arial"/>
                <w:sz w:val="24"/>
              </w:rPr>
            </w:pPr>
          </w:p>
          <w:p w:rsidR="00A77B3E" w:rsidRPr="000E1F79" w:rsidRDefault="00A77B3E" w:rsidP="000E1F79">
            <w:pPr>
              <w:spacing w:line="360" w:lineRule="auto"/>
              <w:ind w:left="5669"/>
              <w:rPr>
                <w:rFonts w:ascii="Arial" w:hAnsi="Arial" w:cs="Arial"/>
                <w:sz w:val="24"/>
              </w:rPr>
            </w:pPr>
          </w:p>
        </w:tc>
      </w:tr>
    </w:tbl>
    <w:p w:rsidR="00A77B3E" w:rsidRPr="000E1F79" w:rsidRDefault="00A77B3E" w:rsidP="000E1F79">
      <w:pPr>
        <w:spacing w:line="360" w:lineRule="auto"/>
        <w:rPr>
          <w:rFonts w:ascii="Arial" w:hAnsi="Arial" w:cs="Arial"/>
          <w:sz w:val="24"/>
        </w:rPr>
      </w:pPr>
    </w:p>
    <w:p w:rsidR="00A77B3E" w:rsidRPr="000E1F79" w:rsidRDefault="000E1F79" w:rsidP="004B6AAD">
      <w:pPr>
        <w:spacing w:line="360" w:lineRule="auto"/>
        <w:jc w:val="center"/>
        <w:rPr>
          <w:rFonts w:ascii="Arial" w:hAnsi="Arial" w:cs="Arial"/>
          <w:caps/>
          <w:sz w:val="24"/>
        </w:rPr>
      </w:pPr>
      <w:r w:rsidRPr="000E1F79">
        <w:rPr>
          <w:rFonts w:ascii="Arial" w:hAnsi="Arial" w:cs="Arial"/>
          <w:caps/>
          <w:sz w:val="24"/>
        </w:rPr>
        <w:t>Uchwała Nr ....................</w:t>
      </w:r>
      <w:r w:rsidRPr="000E1F79">
        <w:rPr>
          <w:rFonts w:ascii="Arial" w:hAnsi="Arial" w:cs="Arial"/>
          <w:caps/>
          <w:sz w:val="24"/>
        </w:rPr>
        <w:br/>
        <w:t>Rady Miasta Piotrkowa Trybunalskiego</w:t>
      </w:r>
    </w:p>
    <w:p w:rsidR="00A77B3E" w:rsidRPr="000E1F79" w:rsidRDefault="000E1F79" w:rsidP="004B6AAD">
      <w:pPr>
        <w:spacing w:before="280" w:after="280" w:line="360" w:lineRule="auto"/>
        <w:jc w:val="center"/>
        <w:rPr>
          <w:rFonts w:ascii="Arial" w:hAnsi="Arial" w:cs="Arial"/>
          <w:caps/>
          <w:sz w:val="24"/>
        </w:rPr>
      </w:pPr>
      <w:r w:rsidRPr="000E1F79">
        <w:rPr>
          <w:rFonts w:ascii="Arial" w:hAnsi="Arial" w:cs="Arial"/>
          <w:sz w:val="24"/>
        </w:rPr>
        <w:t>z dnia .................... 2023 r.</w:t>
      </w:r>
    </w:p>
    <w:p w:rsidR="00A77B3E" w:rsidRPr="000E1F79" w:rsidRDefault="000E1F79" w:rsidP="000E1F79">
      <w:pPr>
        <w:keepNext/>
        <w:spacing w:after="120" w:line="360" w:lineRule="auto"/>
        <w:rPr>
          <w:rFonts w:ascii="Arial" w:hAnsi="Arial" w:cs="Arial"/>
          <w:sz w:val="24"/>
        </w:rPr>
      </w:pPr>
      <w:r w:rsidRPr="000E1F79">
        <w:rPr>
          <w:rFonts w:ascii="Arial" w:hAnsi="Arial" w:cs="Arial"/>
          <w:sz w:val="24"/>
        </w:rPr>
        <w:t>w sprawie ustalenia Regulaminu wynagradzania nauczycieli zatrudnionych w szkołach i placówkach oświatowych, dla których organem prowadzącym jest Miasto Piotrków Trybunalski</w:t>
      </w:r>
    </w:p>
    <w:p w:rsidR="00A77B3E" w:rsidRPr="000E1F79" w:rsidRDefault="000E1F79" w:rsidP="000E1F79">
      <w:pPr>
        <w:keepLines/>
        <w:spacing w:before="120" w:after="120" w:line="360" w:lineRule="auto"/>
        <w:ind w:firstLine="227"/>
        <w:rPr>
          <w:rFonts w:ascii="Arial" w:hAnsi="Arial" w:cs="Arial"/>
          <w:sz w:val="24"/>
        </w:rPr>
      </w:pPr>
      <w:r w:rsidRPr="000E1F79">
        <w:rPr>
          <w:rFonts w:ascii="Arial" w:hAnsi="Arial" w:cs="Arial"/>
          <w:sz w:val="24"/>
        </w:rPr>
        <w:t>Na podstawie art. 18 ust. 2 pkt 15 art. 40 ust. 1 ustawy z dnia 8 marca 1990 r. o samorządzie gminnym (Dz.U.2023.40), art. 12 pkt 11 i art. 92 ust. 1 pkt 1 ustawy z dnia 5 czerwca 1998 r. o samorządzie powiatowym (Dz.U.2022 poz. 1526) w związku z art. 30 ust. 6 i 6a oraz art. 91d pkt 1 ustawy z dnia 26 stycznia 1982 r. Karta Nauczyciela (Dz.U.2021 r. poz. 1762, z 2022 r. poz. 935, poz. 1116, poz. 1700, poz. 1730) uchwala się, co następuje:</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1. Ustala się Regulamin wynagradzania nauczycieli zatrudnionych w szkołach i placówkach oświatowych prowadzonych przez Miasto Piotrków Trybunalski, który stanowi załącznik do uchwały.</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xml:space="preserve">§ 2. Traci moc Uchwała Nr XXXIV/590/09 Rady Miasta Piotrkowa Trybunalskiego z 25 lutego 2009 r. w sprawie ustalenia Regulaminu określającego wysokość stawek i szczegółowe warunki przyznawania nauczycielom dodatków: za wysługę lat, motywacyjnego, funkcyjnego, za warunki pracy, szczegółowe warunki obliczania i wypłacania wynagrodzenia za godziny ponadwymiarowe i godziny doraźnych zastępstw dla nauczycieli zatrudnionych w szkołach i placówkach oświatowych prowadzonych przez Miasto Piotrków Trybunalski (Dz.U. Woj. </w:t>
      </w:r>
      <w:proofErr w:type="spellStart"/>
      <w:r w:rsidRPr="000E1F79">
        <w:rPr>
          <w:rFonts w:ascii="Arial" w:hAnsi="Arial" w:cs="Arial"/>
          <w:sz w:val="24"/>
        </w:rPr>
        <w:t>Łódz</w:t>
      </w:r>
      <w:proofErr w:type="spellEnd"/>
      <w:r w:rsidRPr="000E1F79">
        <w:rPr>
          <w:rFonts w:ascii="Arial" w:hAnsi="Arial" w:cs="Arial"/>
          <w:sz w:val="24"/>
        </w:rPr>
        <w:t>. 2009 r. Nr 64, poz. 628, z 2010 r. Nr 173 poz. 1416, z 2018 r. poz. 1438, poz. 3652, z 2021 r. poz. 4235).</w:t>
      </w:r>
    </w:p>
    <w:p w:rsidR="00A77B3E" w:rsidRPr="000E1F79" w:rsidRDefault="000E1F79" w:rsidP="000E1F79">
      <w:pPr>
        <w:spacing w:line="360" w:lineRule="auto"/>
        <w:ind w:firstLine="340"/>
        <w:rPr>
          <w:rFonts w:ascii="Arial" w:hAnsi="Arial" w:cs="Arial"/>
          <w:sz w:val="24"/>
        </w:rPr>
        <w:sectPr w:rsidR="00A77B3E" w:rsidRPr="000E1F79">
          <w:footerReference w:type="default" r:id="rId7"/>
          <w:endnotePr>
            <w:numFmt w:val="decimal"/>
          </w:endnotePr>
          <w:pgSz w:w="11906" w:h="16838"/>
          <w:pgMar w:top="850" w:right="850" w:bottom="1417" w:left="850" w:header="708" w:footer="708" w:gutter="0"/>
          <w:cols w:space="708"/>
          <w:docGrid w:linePitch="360"/>
        </w:sectPr>
      </w:pPr>
      <w:r w:rsidRPr="000E1F79">
        <w:rPr>
          <w:rFonts w:ascii="Arial" w:hAnsi="Arial" w:cs="Arial"/>
          <w:sz w:val="24"/>
        </w:rPr>
        <w:t>§ 3. Uchwała podlega opublikowaniu w Dzienniku Urzędowym Województwa Łódzkiego i wchodzi w życie po upływie 14 dni od opublikowania, z wyjątkiem pkt 6 tabeli w §4 Regulaminu wynagradzania nauczycieli zatrudnionych w szkołach i placówkach oświatowych, dla których organem prowadzącym jest Miasto Piotrków Trybunalski, który wchodzi w życie z mocą obowiązującą od 1 września 2022 r.</w:t>
      </w:r>
    </w:p>
    <w:p w:rsidR="00A77B3E" w:rsidRPr="000E1F79" w:rsidRDefault="000E1F79" w:rsidP="000E1F79">
      <w:pPr>
        <w:keepNext/>
        <w:spacing w:before="280" w:after="280" w:line="360" w:lineRule="auto"/>
        <w:ind w:left="5081"/>
        <w:rPr>
          <w:rFonts w:ascii="Arial" w:eastAsia="Archia" w:hAnsi="Arial" w:cs="Arial"/>
          <w:sz w:val="24"/>
        </w:rPr>
      </w:pPr>
      <w:r w:rsidRPr="000E1F79">
        <w:rPr>
          <w:rFonts w:ascii="Arial" w:hAnsi="Arial" w:cs="Arial"/>
          <w:sz w:val="24"/>
        </w:rPr>
        <w:lastRenderedPageBreak/>
        <w:fldChar w:fldCharType="begin"/>
      </w:r>
      <w:r w:rsidRPr="000E1F79">
        <w:rPr>
          <w:rFonts w:ascii="Arial" w:hAnsi="Arial" w:cs="Arial"/>
          <w:sz w:val="24"/>
        </w:rPr>
        <w:fldChar w:fldCharType="end"/>
      </w:r>
      <w:r w:rsidRPr="000E1F79">
        <w:rPr>
          <w:rFonts w:ascii="Arial" w:hAnsi="Arial" w:cs="Arial"/>
          <w:sz w:val="24"/>
        </w:rPr>
        <w:t xml:space="preserve">Załącznik do uchwały Nr </w:t>
      </w:r>
      <w:r w:rsidRPr="000E1F79">
        <w:rPr>
          <w:rFonts w:ascii="Arial" w:eastAsia="Archia" w:hAnsi="Arial" w:cs="Arial"/>
          <w:sz w:val="24"/>
        </w:rPr>
        <w:br/>
      </w:r>
      <w:r w:rsidRPr="000E1F79">
        <w:rPr>
          <w:rFonts w:ascii="Arial" w:hAnsi="Arial" w:cs="Arial"/>
          <w:sz w:val="24"/>
        </w:rPr>
        <w:t>Rady Miasta Piotrkowa Trybunalskiego</w:t>
      </w:r>
      <w:r w:rsidRPr="000E1F79">
        <w:rPr>
          <w:rFonts w:ascii="Arial" w:eastAsia="Archia" w:hAnsi="Arial" w:cs="Arial"/>
          <w:sz w:val="24"/>
        </w:rPr>
        <w:br/>
      </w:r>
      <w:r w:rsidRPr="000E1F79">
        <w:rPr>
          <w:rFonts w:ascii="Arial" w:hAnsi="Arial" w:cs="Arial"/>
          <w:sz w:val="24"/>
        </w:rPr>
        <w:t>z dnia .................... 2023 r.</w:t>
      </w:r>
    </w:p>
    <w:p w:rsidR="00A77B3E" w:rsidRPr="000E1F79" w:rsidRDefault="000E1F79" w:rsidP="000E1F79">
      <w:pPr>
        <w:keepNext/>
        <w:spacing w:after="120" w:line="360" w:lineRule="auto"/>
        <w:rPr>
          <w:rFonts w:ascii="Arial" w:hAnsi="Arial" w:cs="Arial"/>
          <w:sz w:val="24"/>
        </w:rPr>
      </w:pPr>
      <w:r w:rsidRPr="000E1F79">
        <w:rPr>
          <w:rFonts w:ascii="Arial" w:hAnsi="Arial" w:cs="Arial"/>
          <w:sz w:val="24"/>
        </w:rPr>
        <w:t>Regulamin wynagradzania nauczycieli zatrudnionych w szkołach i placówkach oświatowych, dla których organem prowadzącym jest Miasto Piotrków Trybunalski</w:t>
      </w:r>
    </w:p>
    <w:p w:rsidR="00A77B3E" w:rsidRPr="000E1F79" w:rsidRDefault="000E1F79" w:rsidP="000E1F79">
      <w:pPr>
        <w:keepNext/>
        <w:spacing w:line="360" w:lineRule="auto"/>
        <w:rPr>
          <w:rFonts w:ascii="Arial" w:hAnsi="Arial" w:cs="Arial"/>
          <w:sz w:val="24"/>
        </w:rPr>
      </w:pPr>
      <w:r w:rsidRPr="000E1F79">
        <w:rPr>
          <w:rFonts w:ascii="Arial" w:hAnsi="Arial" w:cs="Arial"/>
          <w:sz w:val="24"/>
        </w:rPr>
        <w:t>Rozdział 1.</w:t>
      </w:r>
      <w:r w:rsidRPr="000E1F79">
        <w:rPr>
          <w:rFonts w:ascii="Arial" w:hAnsi="Arial" w:cs="Arial"/>
          <w:sz w:val="24"/>
        </w:rPr>
        <w:br/>
        <w:t>Postanowienia ogólne</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1. Regulamin określa:</w:t>
      </w:r>
    </w:p>
    <w:p w:rsidR="00A77B3E" w:rsidRPr="000E1F79" w:rsidRDefault="000E1F79" w:rsidP="000E1F79">
      <w:pPr>
        <w:keepLines/>
        <w:spacing w:after="10" w:line="360" w:lineRule="auto"/>
        <w:ind w:firstLine="340"/>
        <w:rPr>
          <w:rFonts w:ascii="Arial" w:hAnsi="Arial" w:cs="Arial"/>
          <w:sz w:val="24"/>
        </w:rPr>
      </w:pPr>
      <w:r w:rsidRPr="000E1F79">
        <w:rPr>
          <w:rFonts w:ascii="Arial" w:hAnsi="Arial" w:cs="Arial"/>
          <w:sz w:val="24"/>
        </w:rPr>
        <w:t>1. Wysokość oraz warunki przyznawania dodatków: funkcyjnego, w tym z tytułu sprawowania funkcji wychowawcy klasy, motywacyjnego, za wysługę lat i za warunki pracy;</w:t>
      </w:r>
    </w:p>
    <w:p w:rsidR="00A77B3E" w:rsidRPr="000E1F79" w:rsidRDefault="000E1F79" w:rsidP="000E1F79">
      <w:pPr>
        <w:keepLines/>
        <w:spacing w:after="10" w:line="360" w:lineRule="auto"/>
        <w:ind w:firstLine="340"/>
        <w:rPr>
          <w:rFonts w:ascii="Arial" w:hAnsi="Arial" w:cs="Arial"/>
          <w:sz w:val="24"/>
        </w:rPr>
      </w:pPr>
      <w:r w:rsidRPr="000E1F79">
        <w:rPr>
          <w:rFonts w:ascii="Arial" w:hAnsi="Arial" w:cs="Arial"/>
          <w:sz w:val="24"/>
        </w:rPr>
        <w:t>2. Szczegółowe warunki obliczania wynagrodzenia za godziny ponadwymiarowe i godziny doraźnych zastępstw.</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2. Ilekroć w Regulaminie jest mowa o:</w:t>
      </w:r>
    </w:p>
    <w:p w:rsidR="00A77B3E" w:rsidRPr="000E1F79" w:rsidRDefault="000E1F79" w:rsidP="000E1F79">
      <w:pPr>
        <w:keepLines/>
        <w:spacing w:after="10" w:line="360" w:lineRule="auto"/>
        <w:ind w:firstLine="340"/>
        <w:rPr>
          <w:rFonts w:ascii="Arial" w:hAnsi="Arial" w:cs="Arial"/>
          <w:sz w:val="24"/>
        </w:rPr>
      </w:pPr>
      <w:r w:rsidRPr="000E1F79">
        <w:rPr>
          <w:rFonts w:ascii="Arial" w:hAnsi="Arial" w:cs="Arial"/>
          <w:sz w:val="24"/>
        </w:rPr>
        <w:t>1. Karcie nauczyciela - rozumie się przez to ustawę z dnia 26 stycznia 1982 r. - Karta Nauczyciela (Dz.U.2021.1762 ze zm.);</w:t>
      </w:r>
    </w:p>
    <w:p w:rsidR="00A77B3E" w:rsidRPr="000E1F79" w:rsidRDefault="000E1F79" w:rsidP="000E1F79">
      <w:pPr>
        <w:keepLines/>
        <w:spacing w:after="10" w:line="360" w:lineRule="auto"/>
        <w:ind w:firstLine="340"/>
        <w:rPr>
          <w:rFonts w:ascii="Arial" w:hAnsi="Arial" w:cs="Arial"/>
          <w:sz w:val="24"/>
        </w:rPr>
      </w:pPr>
      <w:r w:rsidRPr="000E1F79">
        <w:rPr>
          <w:rFonts w:ascii="Arial" w:hAnsi="Arial" w:cs="Arial"/>
          <w:sz w:val="24"/>
        </w:rPr>
        <w:t>2. Rozporządzeniu - należy przez to rozumieć Rozporządzenie Ministra Edukacji Narodowej i Sportu z dnia 31 stycznia 2005 r. w sprawie wysokości minimalnych stawek wynagrodzenia zasadniczego nauczycieli, ogólnych warunków przyznawania dodatków do wynagrodzenia zasadniczego oraz wynagrodzenia za pracę w dniu wolnym od pracy (Dz.U.2014.416 ze zm.);</w:t>
      </w:r>
    </w:p>
    <w:p w:rsidR="00A77B3E" w:rsidRPr="000E1F79" w:rsidRDefault="000E1F79" w:rsidP="000E1F79">
      <w:pPr>
        <w:keepLines/>
        <w:spacing w:after="10" w:line="360" w:lineRule="auto"/>
        <w:ind w:firstLine="340"/>
        <w:rPr>
          <w:rFonts w:ascii="Arial" w:hAnsi="Arial" w:cs="Arial"/>
          <w:sz w:val="24"/>
        </w:rPr>
      </w:pPr>
      <w:r w:rsidRPr="000E1F79">
        <w:rPr>
          <w:rFonts w:ascii="Arial" w:hAnsi="Arial" w:cs="Arial"/>
          <w:sz w:val="24"/>
        </w:rPr>
        <w:t>3. Szkole - należy przez to rozumieć przedszkole, oddział przedszkolny, szkołę lub placówkę albo zespół szkół lub placówek, dla których organem prowadzącym jest Miasto Piotrków Trybunalski;</w:t>
      </w:r>
    </w:p>
    <w:p w:rsidR="00A77B3E" w:rsidRPr="000E1F79" w:rsidRDefault="000E1F79" w:rsidP="000E1F79">
      <w:pPr>
        <w:keepLines/>
        <w:spacing w:after="10" w:line="360" w:lineRule="auto"/>
        <w:ind w:firstLine="340"/>
        <w:rPr>
          <w:rFonts w:ascii="Arial" w:hAnsi="Arial" w:cs="Arial"/>
          <w:sz w:val="24"/>
        </w:rPr>
      </w:pPr>
      <w:r w:rsidRPr="000E1F79">
        <w:rPr>
          <w:rFonts w:ascii="Arial" w:hAnsi="Arial" w:cs="Arial"/>
          <w:sz w:val="24"/>
        </w:rPr>
        <w:t>4. Uczniu - należy przez to rozumieć także wychowanka, słuchacza;</w:t>
      </w:r>
    </w:p>
    <w:p w:rsidR="00A77B3E" w:rsidRPr="000E1F79" w:rsidRDefault="000E1F79" w:rsidP="000E1F79">
      <w:pPr>
        <w:keepLines/>
        <w:spacing w:after="10" w:line="360" w:lineRule="auto"/>
        <w:ind w:firstLine="340"/>
        <w:rPr>
          <w:rFonts w:ascii="Arial" w:hAnsi="Arial" w:cs="Arial"/>
          <w:sz w:val="24"/>
        </w:rPr>
      </w:pPr>
      <w:r w:rsidRPr="000E1F79">
        <w:rPr>
          <w:rFonts w:ascii="Arial" w:hAnsi="Arial" w:cs="Arial"/>
          <w:sz w:val="24"/>
        </w:rPr>
        <w:t>5. Ustawie - należy przez to rozumieć ustawę z dnia 14 grudnia 2016 r. Prawo oświatowe (Dz.U.2021.1082 ze zm.);</w:t>
      </w:r>
    </w:p>
    <w:p w:rsidR="00A77B3E" w:rsidRPr="000E1F79" w:rsidRDefault="000E1F79" w:rsidP="000E1F79">
      <w:pPr>
        <w:keepLines/>
        <w:spacing w:after="10" w:line="360" w:lineRule="auto"/>
        <w:ind w:firstLine="340"/>
        <w:rPr>
          <w:rFonts w:ascii="Arial" w:hAnsi="Arial" w:cs="Arial"/>
          <w:sz w:val="24"/>
        </w:rPr>
      </w:pPr>
      <w:r w:rsidRPr="000E1F79">
        <w:rPr>
          <w:rFonts w:ascii="Arial" w:hAnsi="Arial" w:cs="Arial"/>
          <w:sz w:val="24"/>
        </w:rPr>
        <w:t>6. Roku szkolnym - należy przez to rozumieć okres pracy szkoły od dnia 1 września danego roku do dnia 31 sierpnia roku następnego.</w:t>
      </w:r>
    </w:p>
    <w:p w:rsidR="00A77B3E" w:rsidRPr="000E1F79" w:rsidRDefault="000E1F79" w:rsidP="000E1F79">
      <w:pPr>
        <w:keepNext/>
        <w:keepLines/>
        <w:spacing w:line="360" w:lineRule="auto"/>
        <w:rPr>
          <w:rFonts w:ascii="Arial" w:hAnsi="Arial" w:cs="Arial"/>
          <w:sz w:val="24"/>
        </w:rPr>
      </w:pPr>
      <w:r w:rsidRPr="000E1F79">
        <w:rPr>
          <w:rFonts w:ascii="Arial" w:hAnsi="Arial" w:cs="Arial"/>
          <w:sz w:val="24"/>
        </w:rPr>
        <w:t>Rozdział 2.</w:t>
      </w:r>
      <w:r w:rsidRPr="000E1F79">
        <w:rPr>
          <w:rFonts w:ascii="Arial" w:hAnsi="Arial" w:cs="Arial"/>
          <w:sz w:val="24"/>
        </w:rPr>
        <w:br/>
        <w:t>Dodatek funkcyjny</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3. Do uzyskania dodatku funkcyjnego uprawnieni się nauczyciele, którym powierzono:</w:t>
      </w:r>
    </w:p>
    <w:p w:rsidR="00A77B3E" w:rsidRPr="000E1F79" w:rsidRDefault="000E1F79" w:rsidP="000E1F79">
      <w:pPr>
        <w:keepLines/>
        <w:spacing w:after="10" w:line="360" w:lineRule="auto"/>
        <w:ind w:firstLine="340"/>
        <w:rPr>
          <w:rFonts w:ascii="Arial" w:hAnsi="Arial" w:cs="Arial"/>
          <w:sz w:val="24"/>
        </w:rPr>
      </w:pPr>
      <w:r w:rsidRPr="000E1F79">
        <w:rPr>
          <w:rFonts w:ascii="Arial" w:hAnsi="Arial" w:cs="Arial"/>
          <w:sz w:val="24"/>
        </w:rPr>
        <w:t>1. Stanowisko dyrektora lub wicedyrektora albo inne stanowisko kierownicze przewidziane w statucie szkoły;</w:t>
      </w:r>
    </w:p>
    <w:p w:rsidR="00A77B3E" w:rsidRPr="000E1F79" w:rsidRDefault="000E1F79" w:rsidP="000E1F79">
      <w:pPr>
        <w:keepLines/>
        <w:spacing w:after="10" w:line="360" w:lineRule="auto"/>
        <w:ind w:firstLine="340"/>
        <w:rPr>
          <w:rFonts w:ascii="Arial" w:hAnsi="Arial" w:cs="Arial"/>
          <w:sz w:val="24"/>
        </w:rPr>
      </w:pPr>
      <w:r w:rsidRPr="000E1F79">
        <w:rPr>
          <w:rFonts w:ascii="Arial" w:hAnsi="Arial" w:cs="Arial"/>
          <w:sz w:val="24"/>
        </w:rPr>
        <w:t>2. Za sprawowanie funkcji:</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lastRenderedPageBreak/>
        <w:t>a) wychowawcy klasy,</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b) opiekuna stażu,</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c) mentora,</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d) nauczyciela opiekującego się oddziałem przedszkolnym.</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br w:type="page"/>
      </w:r>
      <w:r w:rsidRPr="000E1F79">
        <w:rPr>
          <w:rFonts w:ascii="Arial" w:hAnsi="Arial" w:cs="Arial"/>
          <w:sz w:val="24"/>
        </w:rPr>
        <w:lastRenderedPageBreak/>
        <w:t>§ 4. Dodatek funkcyjny dla nauczycieli, o których mowa w §3 ustala się w wysokości określonej w tabeli: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52"/>
        <w:gridCol w:w="2543"/>
        <w:gridCol w:w="2543"/>
      </w:tblGrid>
      <w:tr w:rsidR="00B6677D" w:rsidRPr="000E1F79">
        <w:tc>
          <w:tcPr>
            <w:tcW w:w="570"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 xml:space="preserve">Lp. </w:t>
            </w:r>
          </w:p>
        </w:tc>
        <w:tc>
          <w:tcPr>
            <w:tcW w:w="4650"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 xml:space="preserve">Nazwa dodatku funkcyjnego </w:t>
            </w:r>
          </w:p>
        </w:tc>
        <w:tc>
          <w:tcPr>
            <w:tcW w:w="5190" w:type="dxa"/>
            <w:gridSpan w:val="2"/>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 xml:space="preserve">Miesięcznie </w:t>
            </w:r>
          </w:p>
        </w:tc>
      </w:tr>
      <w:tr w:rsidR="00B6677D" w:rsidRPr="000E1F79">
        <w:tc>
          <w:tcPr>
            <w:tcW w:w="570" w:type="dxa"/>
            <w:vMerge/>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A77B3E" w:rsidP="000E1F79">
            <w:pPr>
              <w:spacing w:line="360" w:lineRule="auto"/>
              <w:rPr>
                <w:rFonts w:ascii="Arial" w:hAnsi="Arial" w:cs="Arial"/>
                <w:sz w:val="24"/>
              </w:rPr>
            </w:pPr>
          </w:p>
        </w:tc>
        <w:tc>
          <w:tcPr>
            <w:tcW w:w="4650" w:type="dxa"/>
            <w:vMerge/>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A77B3E" w:rsidP="000E1F79">
            <w:pPr>
              <w:spacing w:line="360" w:lineRule="auto"/>
              <w:rPr>
                <w:rFonts w:ascii="Arial" w:hAnsi="Arial" w:cs="Arial"/>
                <w:sz w:val="24"/>
              </w:rPr>
            </w:pPr>
          </w:p>
        </w:tc>
        <w:tc>
          <w:tcPr>
            <w:tcW w:w="2595"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od</w:t>
            </w:r>
          </w:p>
        </w:tc>
        <w:tc>
          <w:tcPr>
            <w:tcW w:w="2595"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do</w:t>
            </w:r>
          </w:p>
        </w:tc>
      </w:tr>
      <w:tr w:rsidR="00B6677D" w:rsidRPr="000E1F79">
        <w:tc>
          <w:tcPr>
            <w:tcW w:w="570" w:type="dxa"/>
            <w:tcBorders>
              <w:top w:val="single" w:sz="2" w:space="0" w:color="auto"/>
              <w:left w:val="single" w:sz="2" w:space="0" w:color="auto"/>
              <w:bottom w:val="single" w:sz="2" w:space="0" w:color="auto"/>
              <w:right w:val="single" w:sz="2" w:space="0" w:color="auto"/>
            </w:tcBorders>
            <w:tcMar>
              <w:top w:w="100" w:type="dxa"/>
            </w:tcMar>
          </w:tcPr>
          <w:p w:rsidR="00A77B3E" w:rsidRPr="000E1F79" w:rsidRDefault="000E1F79" w:rsidP="000E1F79">
            <w:pPr>
              <w:spacing w:line="360" w:lineRule="auto"/>
              <w:rPr>
                <w:rFonts w:ascii="Arial" w:hAnsi="Arial" w:cs="Arial"/>
                <w:sz w:val="24"/>
              </w:rPr>
            </w:pPr>
            <w:r w:rsidRPr="000E1F79">
              <w:rPr>
                <w:rFonts w:ascii="Arial" w:hAnsi="Arial" w:cs="Arial"/>
                <w:sz w:val="24"/>
              </w:rPr>
              <w:t>1.</w:t>
            </w:r>
          </w:p>
        </w:tc>
        <w:tc>
          <w:tcPr>
            <w:tcW w:w="4650"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Dla Dyrektora szkoły</w:t>
            </w:r>
          </w:p>
        </w:tc>
        <w:tc>
          <w:tcPr>
            <w:tcW w:w="2595"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500 zł</w:t>
            </w:r>
          </w:p>
        </w:tc>
        <w:tc>
          <w:tcPr>
            <w:tcW w:w="2595"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3.500 zł</w:t>
            </w:r>
          </w:p>
        </w:tc>
      </w:tr>
      <w:tr w:rsidR="00B6677D" w:rsidRPr="000E1F79">
        <w:tc>
          <w:tcPr>
            <w:tcW w:w="570" w:type="dxa"/>
            <w:tcBorders>
              <w:top w:val="single" w:sz="2" w:space="0" w:color="auto"/>
              <w:left w:val="single" w:sz="2" w:space="0" w:color="auto"/>
              <w:bottom w:val="single" w:sz="2" w:space="0" w:color="auto"/>
              <w:right w:val="single" w:sz="2" w:space="0" w:color="auto"/>
            </w:tcBorders>
            <w:tcMar>
              <w:top w:w="100" w:type="dxa"/>
            </w:tcMar>
          </w:tcPr>
          <w:p w:rsidR="00A77B3E" w:rsidRPr="000E1F79" w:rsidRDefault="000E1F79" w:rsidP="000E1F79">
            <w:pPr>
              <w:spacing w:line="360" w:lineRule="auto"/>
              <w:rPr>
                <w:rFonts w:ascii="Arial" w:hAnsi="Arial" w:cs="Arial"/>
                <w:sz w:val="24"/>
              </w:rPr>
            </w:pPr>
            <w:r w:rsidRPr="000E1F79">
              <w:rPr>
                <w:rFonts w:ascii="Arial" w:hAnsi="Arial" w:cs="Arial"/>
                <w:sz w:val="24"/>
              </w:rPr>
              <w:t>2.</w:t>
            </w:r>
          </w:p>
        </w:tc>
        <w:tc>
          <w:tcPr>
            <w:tcW w:w="4650"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Dla Wicedyrektora szkoły</w:t>
            </w:r>
          </w:p>
        </w:tc>
        <w:tc>
          <w:tcPr>
            <w:tcW w:w="2595"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250 zł</w:t>
            </w:r>
          </w:p>
        </w:tc>
        <w:tc>
          <w:tcPr>
            <w:tcW w:w="2595"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1.200 zł</w:t>
            </w:r>
          </w:p>
        </w:tc>
      </w:tr>
      <w:tr w:rsidR="00B6677D" w:rsidRPr="000E1F79">
        <w:tc>
          <w:tcPr>
            <w:tcW w:w="570"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3.</w:t>
            </w:r>
          </w:p>
        </w:tc>
        <w:tc>
          <w:tcPr>
            <w:tcW w:w="9840" w:type="dxa"/>
            <w:gridSpan w:val="3"/>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Dla nauczyciela, któremu powierzono inne funkcje kierownicze:</w:t>
            </w:r>
          </w:p>
        </w:tc>
      </w:tr>
      <w:tr w:rsidR="00B6677D" w:rsidRPr="000E1F79">
        <w:tc>
          <w:tcPr>
            <w:tcW w:w="570" w:type="dxa"/>
            <w:vMerge/>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A77B3E" w:rsidP="000E1F79">
            <w:pPr>
              <w:spacing w:line="360" w:lineRule="auto"/>
              <w:rPr>
                <w:rFonts w:ascii="Arial" w:hAnsi="Arial" w:cs="Arial"/>
                <w:sz w:val="24"/>
              </w:rPr>
            </w:pPr>
          </w:p>
        </w:tc>
        <w:tc>
          <w:tcPr>
            <w:tcW w:w="4650"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 xml:space="preserve">Kierownik warsztatów szkolnych </w:t>
            </w:r>
          </w:p>
        </w:tc>
        <w:tc>
          <w:tcPr>
            <w:tcW w:w="2595"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250 zł</w:t>
            </w:r>
          </w:p>
        </w:tc>
        <w:tc>
          <w:tcPr>
            <w:tcW w:w="2595"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650 zł</w:t>
            </w:r>
          </w:p>
        </w:tc>
      </w:tr>
      <w:tr w:rsidR="00B6677D" w:rsidRPr="000E1F79">
        <w:tc>
          <w:tcPr>
            <w:tcW w:w="570" w:type="dxa"/>
            <w:vMerge/>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A77B3E" w:rsidP="000E1F79">
            <w:pPr>
              <w:spacing w:line="360" w:lineRule="auto"/>
              <w:rPr>
                <w:rFonts w:ascii="Arial" w:hAnsi="Arial" w:cs="Arial"/>
                <w:sz w:val="24"/>
              </w:rPr>
            </w:pPr>
          </w:p>
        </w:tc>
        <w:tc>
          <w:tcPr>
            <w:tcW w:w="4650"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Kierownik szkolenia praktycznego</w:t>
            </w:r>
          </w:p>
        </w:tc>
        <w:tc>
          <w:tcPr>
            <w:tcW w:w="2595"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200 zł</w:t>
            </w:r>
          </w:p>
        </w:tc>
        <w:tc>
          <w:tcPr>
            <w:tcW w:w="2595"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500 zł</w:t>
            </w:r>
          </w:p>
        </w:tc>
      </w:tr>
      <w:tr w:rsidR="00B6677D" w:rsidRPr="000E1F79">
        <w:tc>
          <w:tcPr>
            <w:tcW w:w="570" w:type="dxa"/>
            <w:vMerge/>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A77B3E" w:rsidP="000E1F79">
            <w:pPr>
              <w:spacing w:line="360" w:lineRule="auto"/>
              <w:rPr>
                <w:rFonts w:ascii="Arial" w:hAnsi="Arial" w:cs="Arial"/>
                <w:sz w:val="24"/>
              </w:rPr>
            </w:pPr>
          </w:p>
        </w:tc>
        <w:tc>
          <w:tcPr>
            <w:tcW w:w="4650"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Kierownik świetlicy szkolnej, bursy szkolnej</w:t>
            </w:r>
          </w:p>
        </w:tc>
        <w:tc>
          <w:tcPr>
            <w:tcW w:w="2595"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100 zł</w:t>
            </w:r>
          </w:p>
        </w:tc>
        <w:tc>
          <w:tcPr>
            <w:tcW w:w="2595"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350 zł</w:t>
            </w:r>
          </w:p>
        </w:tc>
      </w:tr>
      <w:tr w:rsidR="00B6677D" w:rsidRPr="000E1F79">
        <w:tc>
          <w:tcPr>
            <w:tcW w:w="570" w:type="dxa"/>
            <w:tcBorders>
              <w:top w:val="single" w:sz="2" w:space="0" w:color="auto"/>
              <w:left w:val="single" w:sz="2" w:space="0" w:color="auto"/>
              <w:bottom w:val="single" w:sz="2" w:space="0" w:color="auto"/>
              <w:right w:val="single" w:sz="2" w:space="0" w:color="auto"/>
            </w:tcBorders>
            <w:tcMar>
              <w:top w:w="100" w:type="dxa"/>
            </w:tcMar>
          </w:tcPr>
          <w:p w:rsidR="00A77B3E" w:rsidRPr="000E1F79" w:rsidRDefault="000E1F79" w:rsidP="000E1F79">
            <w:pPr>
              <w:spacing w:line="360" w:lineRule="auto"/>
              <w:rPr>
                <w:rFonts w:ascii="Arial" w:hAnsi="Arial" w:cs="Arial"/>
                <w:sz w:val="24"/>
              </w:rPr>
            </w:pPr>
            <w:r w:rsidRPr="000E1F79">
              <w:rPr>
                <w:rFonts w:ascii="Arial" w:hAnsi="Arial" w:cs="Arial"/>
                <w:sz w:val="24"/>
              </w:rPr>
              <w:t>4.</w:t>
            </w:r>
          </w:p>
        </w:tc>
        <w:tc>
          <w:tcPr>
            <w:tcW w:w="4650"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Dla nauczyciela, któremu powierzono wychowawstwo klasy</w:t>
            </w:r>
          </w:p>
        </w:tc>
        <w:tc>
          <w:tcPr>
            <w:tcW w:w="5190" w:type="dxa"/>
            <w:gridSpan w:val="2"/>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300 zł</w:t>
            </w:r>
          </w:p>
        </w:tc>
      </w:tr>
      <w:tr w:rsidR="00B6677D" w:rsidRPr="000E1F79">
        <w:tc>
          <w:tcPr>
            <w:tcW w:w="570" w:type="dxa"/>
            <w:tcBorders>
              <w:top w:val="single" w:sz="2" w:space="0" w:color="auto"/>
              <w:left w:val="single" w:sz="2" w:space="0" w:color="auto"/>
              <w:bottom w:val="single" w:sz="2" w:space="0" w:color="auto"/>
              <w:right w:val="single" w:sz="2" w:space="0" w:color="auto"/>
            </w:tcBorders>
            <w:tcMar>
              <w:top w:w="100" w:type="dxa"/>
            </w:tcMar>
          </w:tcPr>
          <w:p w:rsidR="00A77B3E" w:rsidRPr="000E1F79" w:rsidRDefault="000E1F79" w:rsidP="000E1F79">
            <w:pPr>
              <w:spacing w:line="360" w:lineRule="auto"/>
              <w:rPr>
                <w:rFonts w:ascii="Arial" w:hAnsi="Arial" w:cs="Arial"/>
                <w:sz w:val="24"/>
              </w:rPr>
            </w:pPr>
            <w:r w:rsidRPr="000E1F79">
              <w:rPr>
                <w:rFonts w:ascii="Arial" w:hAnsi="Arial" w:cs="Arial"/>
                <w:sz w:val="24"/>
              </w:rPr>
              <w:t>5.</w:t>
            </w:r>
          </w:p>
        </w:tc>
        <w:tc>
          <w:tcPr>
            <w:tcW w:w="4650"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Dla nauczyciela - opiekuna stażu</w:t>
            </w:r>
          </w:p>
        </w:tc>
        <w:tc>
          <w:tcPr>
            <w:tcW w:w="5190" w:type="dxa"/>
            <w:gridSpan w:val="2"/>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50 zł</w:t>
            </w:r>
          </w:p>
        </w:tc>
      </w:tr>
      <w:tr w:rsidR="00B6677D" w:rsidRPr="000E1F79">
        <w:tc>
          <w:tcPr>
            <w:tcW w:w="570" w:type="dxa"/>
            <w:tcBorders>
              <w:top w:val="single" w:sz="2" w:space="0" w:color="auto"/>
              <w:left w:val="single" w:sz="2" w:space="0" w:color="auto"/>
              <w:bottom w:val="single" w:sz="2" w:space="0" w:color="auto"/>
              <w:right w:val="single" w:sz="2" w:space="0" w:color="auto"/>
            </w:tcBorders>
            <w:tcMar>
              <w:top w:w="100" w:type="dxa"/>
            </w:tcMar>
          </w:tcPr>
          <w:p w:rsidR="00A77B3E" w:rsidRPr="000E1F79" w:rsidRDefault="000E1F79" w:rsidP="000E1F79">
            <w:pPr>
              <w:spacing w:line="360" w:lineRule="auto"/>
              <w:rPr>
                <w:rFonts w:ascii="Arial" w:hAnsi="Arial" w:cs="Arial"/>
                <w:sz w:val="24"/>
              </w:rPr>
            </w:pPr>
            <w:r w:rsidRPr="000E1F79">
              <w:rPr>
                <w:rFonts w:ascii="Arial" w:hAnsi="Arial" w:cs="Arial"/>
                <w:sz w:val="24"/>
              </w:rPr>
              <w:t>6.</w:t>
            </w:r>
          </w:p>
        </w:tc>
        <w:tc>
          <w:tcPr>
            <w:tcW w:w="4650"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Dla nauczyciela - mentora</w:t>
            </w:r>
          </w:p>
        </w:tc>
        <w:tc>
          <w:tcPr>
            <w:tcW w:w="5190" w:type="dxa"/>
            <w:gridSpan w:val="2"/>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50 zł</w:t>
            </w:r>
          </w:p>
        </w:tc>
      </w:tr>
      <w:tr w:rsidR="00B6677D" w:rsidRPr="000E1F79">
        <w:tc>
          <w:tcPr>
            <w:tcW w:w="570" w:type="dxa"/>
            <w:tcBorders>
              <w:top w:val="single" w:sz="2" w:space="0" w:color="auto"/>
              <w:left w:val="single" w:sz="2" w:space="0" w:color="auto"/>
              <w:bottom w:val="single" w:sz="2" w:space="0" w:color="auto"/>
              <w:right w:val="single" w:sz="2" w:space="0" w:color="auto"/>
            </w:tcBorders>
            <w:tcMar>
              <w:top w:w="100" w:type="dxa"/>
            </w:tcMar>
          </w:tcPr>
          <w:p w:rsidR="00A77B3E" w:rsidRPr="000E1F79" w:rsidRDefault="000E1F79" w:rsidP="000E1F79">
            <w:pPr>
              <w:spacing w:line="360" w:lineRule="auto"/>
              <w:rPr>
                <w:rFonts w:ascii="Arial" w:hAnsi="Arial" w:cs="Arial"/>
                <w:sz w:val="24"/>
              </w:rPr>
            </w:pPr>
            <w:r w:rsidRPr="000E1F79">
              <w:rPr>
                <w:rFonts w:ascii="Arial" w:hAnsi="Arial" w:cs="Arial"/>
                <w:sz w:val="24"/>
              </w:rPr>
              <w:t>7.</w:t>
            </w:r>
          </w:p>
        </w:tc>
        <w:tc>
          <w:tcPr>
            <w:tcW w:w="4650"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 xml:space="preserve">Dla nauczyciela opiekującego się oddziałem przedszkolnym </w:t>
            </w:r>
          </w:p>
        </w:tc>
        <w:tc>
          <w:tcPr>
            <w:tcW w:w="5190" w:type="dxa"/>
            <w:gridSpan w:val="2"/>
            <w:tcBorders>
              <w:top w:val="single" w:sz="2" w:space="0" w:color="auto"/>
              <w:left w:val="single" w:sz="2" w:space="0" w:color="auto"/>
              <w:bottom w:val="single" w:sz="2" w:space="0" w:color="auto"/>
              <w:right w:val="single" w:sz="2" w:space="0" w:color="auto"/>
            </w:tcBorders>
            <w:tcMar>
              <w:top w:w="100" w:type="dxa"/>
            </w:tcMar>
            <w:vAlign w:val="center"/>
          </w:tcPr>
          <w:p w:rsidR="00A77B3E" w:rsidRPr="000E1F79" w:rsidRDefault="000E1F79" w:rsidP="000E1F79">
            <w:pPr>
              <w:spacing w:line="360" w:lineRule="auto"/>
              <w:rPr>
                <w:rFonts w:ascii="Arial" w:hAnsi="Arial" w:cs="Arial"/>
                <w:sz w:val="24"/>
              </w:rPr>
            </w:pPr>
            <w:r w:rsidRPr="000E1F79">
              <w:rPr>
                <w:rFonts w:ascii="Arial" w:hAnsi="Arial" w:cs="Arial"/>
                <w:sz w:val="24"/>
              </w:rPr>
              <w:t>150 zł</w:t>
            </w:r>
          </w:p>
        </w:tc>
      </w:tr>
    </w:tbl>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5. Wysokość dodatku funkcyjnego dla nauczycieli zajmujących stanowiska kierownicze ustala dyrektor szkoły, a dla dyrektora szkoły Prezydent Miasta na wniosek Kierownika Referatu Edukacji.</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6. Przy ustalaniu wysokości dodatku funkcyjnego, o którym mowa w §3 pkt 1 uwzględnia się wielkość szkoły, jej strukturę organizacyjną, liczbę uczniów i oddziałów, liczbę kadry pedagogicznej i zatrudnionych pracowników administracji i obsługi, złożoność zadań wynikających z zajmowanego stanowiska, wyniki pracy szkoły oraz warunki lokalowe, środowiskowe i społeczne, w jakich szkoła funkcjonuje.</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7. Prawo do dodatku funkcyjnego powstaje od pierwszego dnia miesiąca następującego po miesiącu, w którym nastąpiło powierzenie stanowiska kierowniczego, a jeżeli powierzenie stanowiska nastąpiło pierwszego dnia miesiąca - od tego dnia.</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8. W przypadku nieobecności dyrektora przez okres co najmniej 1 miesiąca z przyczyn innych niż urlop wypoczynkowy, wicedyrektorowi tej szkoły lub nauczycielowi, którzy zastępują dyrektora na podstawie art. 68 ust. 9 ustawy, dodatek funkcyjny jest ustalany przez organ prowadzący i może być przyznany do wysokości dodatku dla dyrektora szkoły.</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lastRenderedPageBreak/>
        <w:t>§ 9. Z tytułu powierzenia stanowiska kierowniczego przysługuje jeden dodatek funkcyjny, a w przypadku zbiegu uprawnień do dodatków funkcyjnych, o których mowa w §3 ust. 1 i ust. 2, przysługują wszystkie dodatki.</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10. Dodatki funkcyjne, o których mowa w §3 nie przysługują w okresie nieusprawiedliwionej nieobecności w pracy, w okresie urlopu dla poratowania zdrowia, w okresach za które nie przysługuje wynagrodzenie zasadnicze oraz od pierwszego dnia miesiąca następującego po miesiącu, w którym nauczyciel zaprzestał pełnienia stanowiska, wychowawstwa lub funkcji z innych powodów, a jeżeli zaprzestanie tego pełnienia nastąpiło pierwszego dnia miesiąca - od tego dnia.</w:t>
      </w:r>
    </w:p>
    <w:p w:rsidR="00A77B3E" w:rsidRPr="000E1F79" w:rsidRDefault="000E1F79" w:rsidP="000E1F79">
      <w:pPr>
        <w:keepNext/>
        <w:spacing w:line="360" w:lineRule="auto"/>
        <w:rPr>
          <w:rFonts w:ascii="Arial" w:hAnsi="Arial" w:cs="Arial"/>
          <w:sz w:val="24"/>
        </w:rPr>
      </w:pPr>
      <w:r w:rsidRPr="000E1F79">
        <w:rPr>
          <w:rFonts w:ascii="Arial" w:hAnsi="Arial" w:cs="Arial"/>
          <w:sz w:val="24"/>
        </w:rPr>
        <w:t>Rozdział 3.</w:t>
      </w:r>
      <w:r w:rsidRPr="000E1F79">
        <w:rPr>
          <w:rFonts w:ascii="Arial" w:hAnsi="Arial" w:cs="Arial"/>
          <w:sz w:val="24"/>
        </w:rPr>
        <w:br/>
        <w:t>Dodatek motywacyjny</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11. Do szczegółowych warunków przyznawania nauczycielom dodatku motywacyjnego należą:</w:t>
      </w:r>
    </w:p>
    <w:p w:rsidR="00A77B3E" w:rsidRPr="000E1F79" w:rsidRDefault="000E1F79" w:rsidP="000E1F79">
      <w:pPr>
        <w:keepLines/>
        <w:spacing w:after="10" w:line="360" w:lineRule="auto"/>
        <w:ind w:firstLine="340"/>
        <w:rPr>
          <w:rFonts w:ascii="Arial" w:hAnsi="Arial" w:cs="Arial"/>
          <w:sz w:val="24"/>
        </w:rPr>
      </w:pPr>
      <w:r w:rsidRPr="000E1F79">
        <w:rPr>
          <w:rFonts w:ascii="Arial" w:hAnsi="Arial" w:cs="Arial"/>
          <w:sz w:val="24"/>
        </w:rPr>
        <w:t>1. w zakresie osiągnięć w realizowanym procesie dydaktycznym:</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a) osiągnięcia w pracy z uczniami zdolnymi, potwierdzone wynikami sprawdzianów, testów i badań zewnętrznych oraz sukcesami uczniów w konkursach, olimpiadach i zawodach;</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b) osiąganie pozytywnych efektów edukacyjnych w pracy z uczniami mającymi trudności w nauce;</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c) osiągnięcia w pracy z dzieckiem w wieku przedszkolnym w zakresie zdobywania przez nie wiedzy, umiejętności i doświadczenia;</w:t>
      </w:r>
    </w:p>
    <w:p w:rsidR="00A77B3E" w:rsidRPr="000E1F79" w:rsidRDefault="000E1F79" w:rsidP="000E1F79">
      <w:pPr>
        <w:keepLines/>
        <w:spacing w:after="10" w:line="360" w:lineRule="auto"/>
        <w:ind w:firstLine="340"/>
        <w:rPr>
          <w:rFonts w:ascii="Arial" w:hAnsi="Arial" w:cs="Arial"/>
          <w:sz w:val="24"/>
        </w:rPr>
      </w:pPr>
      <w:r w:rsidRPr="000E1F79">
        <w:rPr>
          <w:rFonts w:ascii="Arial" w:hAnsi="Arial" w:cs="Arial"/>
          <w:sz w:val="24"/>
        </w:rPr>
        <w:t>2. w zakresie osiągnięć wychowawczo-opiekuńczych:</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a) umiejętne rozwiązywanie problemów wychowawczych uczniów we współpracy z rodzicami;</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b) pozytywne efekty w zakresie wzmacniania u ucznia poczucia wartości, indywidualności, oryginalności oraz potrzeby tworzenia relacji osobowych i uczestnictwa w grupie;</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c) zaangażowanie w tworzenie sytuacji sprzyjających rozwojowi nawyków i </w:t>
      </w:r>
      <w:proofErr w:type="spellStart"/>
      <w:r w:rsidRPr="000E1F79">
        <w:rPr>
          <w:rFonts w:ascii="Arial" w:hAnsi="Arial" w:cs="Arial"/>
          <w:sz w:val="24"/>
        </w:rPr>
        <w:t>zachowań</w:t>
      </w:r>
      <w:proofErr w:type="spellEnd"/>
      <w:r w:rsidRPr="000E1F79">
        <w:rPr>
          <w:rFonts w:ascii="Arial" w:hAnsi="Arial" w:cs="Arial"/>
          <w:sz w:val="24"/>
        </w:rPr>
        <w:t xml:space="preserve"> prowadzących do samodzielności, dbania o zdrowie, przeciwdziałania nałogom, sprawności ruchowej i bezpieczeństwa, w tym bezpieczeństwa w ruchu drogowym;</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d) podejmowanie skutecznych działań na rzecz wychowania w duchu tolerancji i szacunku dla drugiego człowieka oraz uczciwości, solidarności i odpowiedzialności;</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e) wdrażanie różnorodnych form współpracy z rodzicami, organizacja udziału rodziców w życiu szkoły, rozpoznawanie środowiska wychowawczego uczniów, aktywne i efektywne działanie na rzecz uczniów potrzebujących szczególnej opieki;</w:t>
      </w:r>
    </w:p>
    <w:p w:rsidR="00A77B3E" w:rsidRPr="000E1F79" w:rsidRDefault="000E1F79" w:rsidP="000E1F79">
      <w:pPr>
        <w:keepLines/>
        <w:spacing w:after="10" w:line="360" w:lineRule="auto"/>
        <w:ind w:firstLine="340"/>
        <w:rPr>
          <w:rFonts w:ascii="Arial" w:hAnsi="Arial" w:cs="Arial"/>
          <w:sz w:val="24"/>
        </w:rPr>
      </w:pPr>
      <w:r w:rsidRPr="000E1F79">
        <w:rPr>
          <w:rFonts w:ascii="Arial" w:hAnsi="Arial" w:cs="Arial"/>
          <w:sz w:val="24"/>
        </w:rPr>
        <w:t>3. w zakresie wprowadzania innowacji pedagogicznych skutkujących efektami w procesie kształcenia i wychowania:</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lastRenderedPageBreak/>
        <w:t>a) przeprowadzenie trafnej diagnozy obszaru działalności szkoły, wymagającego udoskonalenia w ramach wprowadzenia innowacji programowej, organizacyjnej, metodycznej lub mieszanej ze zredagowaniem założeń innowacji i planu jej wdrożenia;</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b) aktywny udział nauczyciela we wprowadzaniu innowacji pedagogicznej na etapie jej realizacji, ewaluacji oraz przy redagowaniu dokumentacji;</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c) podejmowanie przez nauczyciela działań mających na celu dzielenie się wiedzą i doświadczeniem z zakresu przeprowadzonej z jego udziałem innowacji pedagogicznej;</w:t>
      </w:r>
    </w:p>
    <w:p w:rsidR="00A77B3E" w:rsidRPr="000E1F79" w:rsidRDefault="000E1F79" w:rsidP="000E1F79">
      <w:pPr>
        <w:keepLines/>
        <w:spacing w:after="10" w:line="360" w:lineRule="auto"/>
        <w:ind w:firstLine="340"/>
        <w:rPr>
          <w:rFonts w:ascii="Arial" w:hAnsi="Arial" w:cs="Arial"/>
          <w:sz w:val="24"/>
        </w:rPr>
      </w:pPr>
      <w:r w:rsidRPr="000E1F79">
        <w:rPr>
          <w:rFonts w:ascii="Arial" w:hAnsi="Arial" w:cs="Arial"/>
          <w:sz w:val="24"/>
        </w:rPr>
        <w:t>4. w zakresie zaangażowania w realizację czynności i zajęć, o których mowa w art. 42 ust. 2 pkt 2 Karty Nauczyciela:</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a) udział w organizowaniu imprez i uroczystości szkolnych, imprez kulturalnych, sportowych, rekreacyjnych organizowanych przez szkołę;</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b) sprawowanie opieki nad samorządem uczniowskim lub innymi organizacjami uczniowskimi działającymi na terenie szkoły;</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c) prowadzenie zajęć pozalekcyjnych wynikających z zainteresowań uczniów;</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d) współpraca z instytucjami wspierającymi działalność statutową szkoły;</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e) udział w pracach szkolnych zespołów nauczycielskich;</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f) aktywny udział w realizowaniu innych zadań statutowych szkoły, zgodnie z planem pracy szkoły oraz zleconych przez dyrektora zespołu szkół;</w:t>
      </w:r>
    </w:p>
    <w:p w:rsidR="00A77B3E" w:rsidRPr="000E1F79" w:rsidRDefault="000E1F79" w:rsidP="000E1F79">
      <w:pPr>
        <w:keepLines/>
        <w:spacing w:after="10" w:line="360" w:lineRule="auto"/>
        <w:ind w:firstLine="340"/>
        <w:rPr>
          <w:rFonts w:ascii="Arial" w:hAnsi="Arial" w:cs="Arial"/>
          <w:sz w:val="24"/>
        </w:rPr>
      </w:pPr>
      <w:r w:rsidRPr="000E1F79">
        <w:rPr>
          <w:rFonts w:ascii="Arial" w:hAnsi="Arial" w:cs="Arial"/>
          <w:sz w:val="24"/>
        </w:rPr>
        <w:t>5. szczególnie efektywne wypełnianie zadań i obowiązków związanych z powierzonym stanowiskiem:</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a) szczególna dbałość o jakość pracy na powierzonym stanowisku dyrektora, wicedyrektora, skutkującą wzorową realizacją powierzonych zadań;</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b) szczególnie efektywne wypełnianie zadań na stanowisku dyrektora, w zakresie sprawowania opieki nad uczniami, dysponowania środkami określonymi w planie finansowym, zapewnienia bezpieczeństwa uczniom i nauczycielom w czasie zajęć organizowanych przez szkołę oraz realizacji zaleceń wynikających z orzeczenia o potrzebie kształcenia specjalnego ucznia;</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c) działania na rzecz harmonijnej współpracy z organami szkoły i aktywnej współpracy ze środowiskiem lokalnym;</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d) podejmowanie działań na rzecz promowania działań szkoły w środowisku lokalnym;</w:t>
      </w:r>
    </w:p>
    <w:p w:rsidR="00A77B3E" w:rsidRPr="000E1F79" w:rsidRDefault="000E1F79" w:rsidP="000E1F79">
      <w:pPr>
        <w:keepLines/>
        <w:spacing w:after="10" w:line="360" w:lineRule="auto"/>
        <w:ind w:firstLine="340"/>
        <w:rPr>
          <w:rFonts w:ascii="Arial" w:hAnsi="Arial" w:cs="Arial"/>
          <w:sz w:val="24"/>
        </w:rPr>
      </w:pPr>
      <w:r w:rsidRPr="000E1F79">
        <w:rPr>
          <w:rFonts w:ascii="Arial" w:hAnsi="Arial" w:cs="Arial"/>
          <w:sz w:val="24"/>
        </w:rPr>
        <w:t>6. realizowanie w szkole zadań edukacyjnych, wynikających z przyjętych przez organ prowadzący priorytetów w realizowanej lokalnej polityce oświatowej:</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a) realizowanie zadań edukacyjnych obejmujących podnoszenie świadomości uczniów z zakresu ochrony środowiska naturalnego oraz kulturowego;</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b) prowadzenie przez nauczyciela programów realizowanych w ramach współpracy dzieci i młodzieży z gmin partnerskich;</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lastRenderedPageBreak/>
        <w:t>c) podejmowanie, w atrakcyjnej formie, dodatkowych działań na rzecz podnoszenia wśród dzieci i młodzieży szkolnej poziomu znajomości języków obcych.</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12. Prawo do dodatku motywacyjnego nauczyciel nabywa po przepracowaniu roku szkolnego w danej szkole.</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13. Nauczycielom uzupełniającym etat w innej szkole dodatek motywacyjny przyznaje dyrektor macierzystej szkoły w uzgodnieniu z dyrektorem szkoły, w której nauczyciel uzupełnia etat.</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14. Nauczycielowi przeniesionemu na podstawie art. 18 Karty Nauczyciela, dodatek motywacyjny ustala dyrektor szkoły, do której nauczyciel został przeniesiony po zasięgnięciu opinii dyrektora szkoły poprzedniej.</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15. Dodatek motywacyjny ustala się w wysokości 80 zł na jeden etat przeliczeniowy według stanu na dzień 1 września danego roku szkolnego.</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16. Dodatek motywacyjny dla dyrektora szkoły przyznaje Prezydent Miasta na wniosek Kierownika Referatu Edukacji w wysokości do 3.000 zł.</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17. Dodatek motywacyjny dla nauczycieli przyznaje dyrektor szkoły w wysokości do 300 zł.</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18. Dodatek motywacyjny dla nauczycieli pełniących funkcję wicedyrektora przyznaje dyrektor szkoły w wysokości do 1.000 zł.</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19. Dodatki motywacyjne dla dyrektorów nie mogą pochodzić ze środków przeznaczonych na dodatki motywacyjne dla nauczycieli.</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20. Dodatek motywacyjny przyznawany jest na czas określony, nie dłuższy niż jeden rok szkolny.</w:t>
      </w:r>
    </w:p>
    <w:p w:rsidR="00A77B3E" w:rsidRPr="000E1F79" w:rsidRDefault="000E1F79" w:rsidP="000E1F79">
      <w:pPr>
        <w:keepNext/>
        <w:spacing w:line="360" w:lineRule="auto"/>
        <w:rPr>
          <w:rFonts w:ascii="Arial" w:hAnsi="Arial" w:cs="Arial"/>
          <w:sz w:val="24"/>
        </w:rPr>
      </w:pPr>
      <w:r w:rsidRPr="000E1F79">
        <w:rPr>
          <w:rFonts w:ascii="Arial" w:hAnsi="Arial" w:cs="Arial"/>
          <w:sz w:val="24"/>
        </w:rPr>
        <w:t>Rozdział 4.</w:t>
      </w:r>
      <w:r w:rsidRPr="000E1F79">
        <w:rPr>
          <w:rFonts w:ascii="Arial" w:hAnsi="Arial" w:cs="Arial"/>
          <w:sz w:val="24"/>
        </w:rPr>
        <w:br/>
        <w:t>Dodatek za wysługę lat</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21. Wysokość dodatku oraz warunki nabywania przez nauczyciela prawa do dodatku za wysługę lat określają przepisy art. 33 ust. 1 Karty Nauczyciela oraz §7 Rozporządzenia.</w:t>
      </w:r>
    </w:p>
    <w:p w:rsidR="00A77B3E" w:rsidRPr="000E1F79" w:rsidRDefault="000E1F79" w:rsidP="000E1F79">
      <w:pPr>
        <w:keepNext/>
        <w:spacing w:line="360" w:lineRule="auto"/>
        <w:rPr>
          <w:rFonts w:ascii="Arial" w:hAnsi="Arial" w:cs="Arial"/>
          <w:sz w:val="24"/>
        </w:rPr>
      </w:pPr>
      <w:r w:rsidRPr="000E1F79">
        <w:rPr>
          <w:rFonts w:ascii="Arial" w:hAnsi="Arial" w:cs="Arial"/>
          <w:sz w:val="24"/>
        </w:rPr>
        <w:t>Rozdział 5.</w:t>
      </w:r>
      <w:r w:rsidRPr="000E1F79">
        <w:rPr>
          <w:rFonts w:ascii="Arial" w:hAnsi="Arial" w:cs="Arial"/>
          <w:sz w:val="24"/>
        </w:rPr>
        <w:br/>
        <w:t>Dodatek za warunki pracy</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22. Nauczycielowi przysługuje dodatek za warunki pracy z tytułu pracy w trudnych, uciążliwych dla zdrowia warunkach określonych w art. 34 ust. 1 Karty Nauczyciela oraz przepisach §8 i §9 Rozporządzenia.</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23. Dodatek za trudne warunki pracy przysługuje w okresie faktycznego wykonywania pracy, z którą dodatek jest związany oraz w okresie niewykonywania pracy, za który przysługuje wynagrodzenie liczone jak za okres urlopu wypoczynkowego.</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xml:space="preserve">§ 24. Dodatek za warunki pracy wypłaca się w całości, jeżeli nauczyciel realizuje w warunkach trudnych lub uciążliwych cały obowiązujący go wymiar zajęć oraz w przypadku, </w:t>
      </w:r>
      <w:r w:rsidRPr="000E1F79">
        <w:rPr>
          <w:rFonts w:ascii="Arial" w:hAnsi="Arial" w:cs="Arial"/>
          <w:sz w:val="24"/>
        </w:rPr>
        <w:lastRenderedPageBreak/>
        <w:t>gdy nauczyciel, któremu powierzono stanowisko kierownicze, realizuje w tych warunkach obowiązujący go wymiar zajęć. Dodatek wypłaca się w wysokości proporcjonalnej, jeżeli nauczyciel realizuje w warunkach trudnych i uciążliwych tylko część obowiązującego wymiaru zajęć lub jest zatrudniony w niepełnym wymiarze zajęć.</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25. Nauczycielowi pracującemu w warunkach trudnych ustala się dodatek w wysokości:</w:t>
      </w:r>
    </w:p>
    <w:p w:rsidR="00A77B3E" w:rsidRPr="000E1F79" w:rsidRDefault="000E1F79" w:rsidP="000E1F79">
      <w:pPr>
        <w:keepLines/>
        <w:spacing w:after="10" w:line="360" w:lineRule="auto"/>
        <w:ind w:firstLine="340"/>
        <w:rPr>
          <w:rFonts w:ascii="Arial" w:hAnsi="Arial" w:cs="Arial"/>
          <w:sz w:val="24"/>
        </w:rPr>
      </w:pPr>
      <w:r w:rsidRPr="000E1F79">
        <w:rPr>
          <w:rFonts w:ascii="Arial" w:hAnsi="Arial" w:cs="Arial"/>
          <w:sz w:val="24"/>
        </w:rPr>
        <w:t>1. dla nauczycieli zatrudnionych w poradni psychologiczno-pedagogicznej - do 200 zł,</w:t>
      </w:r>
    </w:p>
    <w:p w:rsidR="00A77B3E" w:rsidRPr="000E1F79" w:rsidRDefault="000E1F79" w:rsidP="000E1F79">
      <w:pPr>
        <w:keepLines/>
        <w:spacing w:after="10" w:line="360" w:lineRule="auto"/>
        <w:ind w:firstLine="340"/>
        <w:rPr>
          <w:rFonts w:ascii="Arial" w:hAnsi="Arial" w:cs="Arial"/>
          <w:sz w:val="24"/>
        </w:rPr>
      </w:pPr>
      <w:r w:rsidRPr="000E1F79">
        <w:rPr>
          <w:rFonts w:ascii="Arial" w:hAnsi="Arial" w:cs="Arial"/>
          <w:sz w:val="24"/>
        </w:rPr>
        <w:t>2. dla nauczycieli zatrudnionych w szkołach specjalnych, świetlicach szkół specjalnych - do 300 zł,</w:t>
      </w:r>
    </w:p>
    <w:p w:rsidR="00A77B3E" w:rsidRPr="000E1F79" w:rsidRDefault="000E1F79" w:rsidP="000E1F79">
      <w:pPr>
        <w:keepLines/>
        <w:spacing w:after="10" w:line="360" w:lineRule="auto"/>
        <w:ind w:firstLine="340"/>
        <w:rPr>
          <w:rFonts w:ascii="Arial" w:hAnsi="Arial" w:cs="Arial"/>
          <w:sz w:val="24"/>
        </w:rPr>
      </w:pPr>
      <w:r w:rsidRPr="000E1F79">
        <w:rPr>
          <w:rFonts w:ascii="Arial" w:hAnsi="Arial" w:cs="Arial"/>
          <w:sz w:val="24"/>
        </w:rPr>
        <w:t>3. dla nauczycieli zatrudnionych w internacie specjalnego ośrodka szkolno-wychowawczego - do 500 zł.</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26. Nauczycielowi pracującemu w warunkach uciążliwych przysługuje dodatek jak dla nauczyciela pracującego w warunkach trudnych, powiększony o 10% wynagrodzenia zasadniczego.</w:t>
      </w:r>
    </w:p>
    <w:p w:rsidR="00A77B3E" w:rsidRPr="000E1F79" w:rsidRDefault="000E1F79" w:rsidP="000E1F79">
      <w:pPr>
        <w:keepNext/>
        <w:spacing w:line="360" w:lineRule="auto"/>
        <w:rPr>
          <w:rFonts w:ascii="Arial" w:hAnsi="Arial" w:cs="Arial"/>
          <w:sz w:val="24"/>
        </w:rPr>
      </w:pPr>
      <w:r w:rsidRPr="000E1F79">
        <w:rPr>
          <w:rFonts w:ascii="Arial" w:hAnsi="Arial" w:cs="Arial"/>
          <w:sz w:val="24"/>
        </w:rPr>
        <w:t>Rozdział 6.</w:t>
      </w:r>
      <w:r w:rsidRPr="000E1F79">
        <w:rPr>
          <w:rFonts w:ascii="Arial" w:hAnsi="Arial" w:cs="Arial"/>
          <w:sz w:val="24"/>
        </w:rPr>
        <w:br/>
        <w:t>Szczegółowe warunki obliczania wynagrodzenia za godziny ponadwymiarowe i godziny doraźnych zastępstw</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27. Wysokość wynagrodzenia za jedną godzinę ponadwymiarową nauczyciela oblicza się dzieląc przyznaną nauczycielowi stawkę wynagrodzenia zasadniczego (łącznie z dodatkiem za warunki pracy, jeżeli praca w godzinach ponadwymiarowych odbywa się w warunkach uprawniających do dodatku), przez miesięczną liczbę godzin tygodniowego obowiązkowego wymiaru godzin dydaktycznych, opiekuńczych i wychowawczych, realizowanych w ramach godzin ponadwymiarowych.</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28. Wysokość wynagrodzenia za jedną godzinę doraźnego zastępstwa ustala się, z zastrzeżeniem §29 w sposób określony w §27.</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29. Wysokość wynagrodzenia za jedną godzinę doraźnego zastępstwa dla nauczycieli realizujących tygodniowy wymiar godzin ustalony na podstawie art. 42 ust. 4a Karty Nauczyciela realizowany na zasadach, o których mowa w §27, ustala się dzieląc przyznaną nauczycielowi stawkę wynagrodzenia zasadniczego (łącznie z dodatkiem za warunki pracy jeżeli praca w godzinach ponadwymiarowych odbywa się w warunkach uprawniających do dodatku) przez miesięczną liczbę godzin zrealizowanego wymiaru godzin.</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30. Miesięczną liczbę godzin obowiązkowego lub realizowanego wymiaru godzin nauczyciela, o której mowa w §27 i §29 ustala się mnożąc tygodniowy obowiązkowy lub realizowany wymiar godzin przez 4,16 z zaokrągleniem do pełnych godzin w ten sposób, że czas zajęć do 0,5 godziny pomija się, a co najmniej 0,5 godziny liczy się za pełną godzinę.</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lastRenderedPageBreak/>
        <w:t>§ 31. Dla ustalenia wynagrodzenia za godziny ponadwymiarowe w tygodniach, w których przypadają dni usprawiedliwionej nieobecności w pracy nauczyciela lub dni ustawowo wolne od pracy oraz w tygodniach, w których zajęcia rozpoczynają się lub kończą w środku tygodnia - za podstawę ustalenia liczby godzin ponadwymiarowych przyjmuje się tygodniowy obowiązkowy wymiar zajęć określony w Karcie Nauczyciela, pomniejszony o 1/5 tego wymiaru (lub 1/4, gdy dla nauczyciela ustalono czterodniowy tydzień pracy) za każdy dzień usprawiedliwionej nieobecności w pracy lub dzień ustawowo wolny od pracy. Liczba godzin ponadwymiarowych, za które przysługuje wynagrodzenie w takim tygodniu, nie może być większa niż liczba godzin przydzielonych w planie organizacyjnym.</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32. Wynagrodzenie za godziny, o których mowa w §27 i §29 przysługuje za godziny faktycznie zrealizowane.</w:t>
      </w:r>
    </w:p>
    <w:p w:rsidR="00A77B3E" w:rsidRPr="000E1F79" w:rsidRDefault="000E1F79" w:rsidP="000E1F79">
      <w:pPr>
        <w:keepNext/>
        <w:spacing w:line="360" w:lineRule="auto"/>
        <w:rPr>
          <w:rFonts w:ascii="Arial" w:hAnsi="Arial" w:cs="Arial"/>
          <w:sz w:val="24"/>
        </w:rPr>
      </w:pPr>
      <w:r w:rsidRPr="000E1F79">
        <w:rPr>
          <w:rFonts w:ascii="Arial" w:hAnsi="Arial" w:cs="Arial"/>
          <w:sz w:val="24"/>
        </w:rPr>
        <w:t>Rozdział 7.</w:t>
      </w:r>
      <w:r w:rsidRPr="000E1F79">
        <w:rPr>
          <w:rFonts w:ascii="Arial" w:hAnsi="Arial" w:cs="Arial"/>
          <w:sz w:val="24"/>
        </w:rPr>
        <w:br/>
        <w:t>Postanowienia końcowe</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33. Nauczycielom zatrudnionym w niepełnym wymiarze zajęć poszczególne składniki wynagrodzenia przysługują w wysokości proporcjonalnej do wymiaru zajęć, z wyjątkiem dodatków funkcyjnych wymienionych w §3 ust. 2, które przysługują w pełnej wysokości bez względu na wymiar zajęć.</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34. Kryteria i tryb przyznawania nagród ze specjalnego funduszu nagród dla nauczycieli za ich osiągnięcia w pracy dydaktyczno-wychowawczej określa odrębna uchwała.</w:t>
      </w:r>
    </w:p>
    <w:p w:rsidR="00A77B3E" w:rsidRPr="000E1F79" w:rsidRDefault="000E1F79" w:rsidP="000E1F79">
      <w:pPr>
        <w:spacing w:line="360" w:lineRule="auto"/>
        <w:ind w:firstLine="340"/>
        <w:rPr>
          <w:rFonts w:ascii="Arial" w:hAnsi="Arial" w:cs="Arial"/>
          <w:sz w:val="24"/>
        </w:rPr>
      </w:pPr>
      <w:r w:rsidRPr="000E1F79">
        <w:rPr>
          <w:rFonts w:ascii="Arial" w:hAnsi="Arial" w:cs="Arial"/>
          <w:sz w:val="24"/>
        </w:rPr>
        <w:t>§ 35. Regulamin został uzgodniony ze związkami zawodowymi zrzeszającymi nauczycieli:</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a) Oddziałem Związku Nauczycielstwa Polskiego w Piotrkowie Trybunalskim,</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b) Międzyzakładową Komisją Pracowników Oświaty i Wychowania NSZZ "Solidarność" w Piotrkowie Trybunalskim,</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c) Międzyzakładową Organizacją Związkową WZZ "Forum-Oświata" w Bełchatowie,</w:t>
      </w:r>
    </w:p>
    <w:p w:rsidR="00A77B3E" w:rsidRPr="000E1F79" w:rsidRDefault="000E1F79" w:rsidP="000E1F79">
      <w:pPr>
        <w:keepLines/>
        <w:spacing w:line="360" w:lineRule="auto"/>
        <w:ind w:left="227" w:hanging="227"/>
        <w:rPr>
          <w:rFonts w:ascii="Arial" w:hAnsi="Arial" w:cs="Arial"/>
          <w:sz w:val="24"/>
        </w:rPr>
      </w:pPr>
      <w:r w:rsidRPr="000E1F79">
        <w:rPr>
          <w:rFonts w:ascii="Arial" w:hAnsi="Arial" w:cs="Arial"/>
          <w:sz w:val="24"/>
        </w:rPr>
        <w:t>d) Międzyzakładową Organizacją Związku Zawodowego "Rada Poradnictwa" w Piotrkowie Trybunalskim.</w:t>
      </w:r>
    </w:p>
    <w:p w:rsidR="00A77B3E" w:rsidRPr="000E1F79" w:rsidRDefault="000E1F79" w:rsidP="000E1F79">
      <w:pPr>
        <w:keepLines/>
        <w:spacing w:before="280" w:after="280" w:line="360" w:lineRule="auto"/>
        <w:ind w:hanging="227"/>
        <w:rPr>
          <w:rFonts w:ascii="Arial" w:hAnsi="Arial" w:cs="Arial"/>
          <w:sz w:val="24"/>
        </w:rPr>
      </w:pPr>
      <w:r w:rsidRPr="000E1F79">
        <w:rPr>
          <w:rFonts w:ascii="Arial" w:hAnsi="Arial" w:cs="Arial"/>
          <w:sz w:val="24"/>
        </w:rPr>
        <w:t>Uzasadnienie do uchwały Nr ....................</w:t>
      </w:r>
      <w:r w:rsidRPr="000E1F79">
        <w:rPr>
          <w:rFonts w:ascii="Arial" w:hAnsi="Arial" w:cs="Arial"/>
          <w:sz w:val="24"/>
        </w:rPr>
        <w:br/>
        <w:t>Rady Miasta Piotrkowa Trybunalskiego</w:t>
      </w:r>
      <w:r w:rsidRPr="000E1F79">
        <w:rPr>
          <w:rFonts w:ascii="Arial" w:hAnsi="Arial" w:cs="Arial"/>
          <w:sz w:val="24"/>
        </w:rPr>
        <w:br/>
        <w:t>z dnia .................... 2023 r.</w:t>
      </w:r>
    </w:p>
    <w:p w:rsidR="00A77B3E" w:rsidRPr="000E1F79" w:rsidRDefault="000E1F79" w:rsidP="000E1F79">
      <w:pPr>
        <w:spacing w:line="360" w:lineRule="auto"/>
        <w:ind w:left="283" w:firstLine="227"/>
        <w:rPr>
          <w:rFonts w:ascii="Arial" w:hAnsi="Arial" w:cs="Arial"/>
          <w:sz w:val="24"/>
        </w:rPr>
      </w:pPr>
      <w:r w:rsidRPr="000E1F79">
        <w:rPr>
          <w:rFonts w:ascii="Arial" w:hAnsi="Arial" w:cs="Arial"/>
          <w:sz w:val="24"/>
        </w:rPr>
        <w:t>Regulamin wynagradzania nauczycieli zatrudnionych w szkołach i placówkach oświatowych, prowadzonych przez Miasto Piotrków Trybunalski stanowi wykonanie upoważnienia zawartego w art. 30 ust. 6 ustawy z dnia 26 stycznia 1982 r. – Karta Nauczyciela (Dz.U.2021 r. poz. 1762 ze zm.).</w:t>
      </w:r>
    </w:p>
    <w:p w:rsidR="00A77B3E" w:rsidRPr="000E1F79" w:rsidRDefault="000E1F79" w:rsidP="000E1F79">
      <w:pPr>
        <w:spacing w:line="360" w:lineRule="auto"/>
        <w:ind w:left="283" w:firstLine="227"/>
        <w:rPr>
          <w:rFonts w:ascii="Arial" w:hAnsi="Arial" w:cs="Arial"/>
          <w:sz w:val="24"/>
        </w:rPr>
      </w:pPr>
      <w:r w:rsidRPr="000E1F79">
        <w:rPr>
          <w:rFonts w:ascii="Arial" w:hAnsi="Arial" w:cs="Arial"/>
          <w:sz w:val="24"/>
        </w:rPr>
        <w:lastRenderedPageBreak/>
        <w:t>Główną przesłanką wprowadzenia zmian w dotychczasowym regulaminie wynagradzania nauczycieli jest zmiana przepisów, ujętych w Prawie Oświatowym, Karcie Nauczyciela oraz Rozporządzeniu Ministra Edukacji Narodowej i Sportu z dnia 31 stycznia 2005 r. w sprawie wysokości minimalnych stawek wynagrodzenia zasadniczego nauczycieli, ogólnych warunków przyznawania dodatków do wynagrodzenia zasadniczego oraz wynagradzania za pracę w dniu wolnym od pracy. Zmiana wymaga dostosowania regulaminu do obecnie obowiązujących przepisów oraz doprecyzowania i uporządkowania zapisów.</w:t>
      </w:r>
    </w:p>
    <w:p w:rsidR="00A77B3E" w:rsidRPr="000E1F79" w:rsidRDefault="000E1F79" w:rsidP="000E1F79">
      <w:pPr>
        <w:spacing w:line="360" w:lineRule="auto"/>
        <w:ind w:left="283" w:firstLine="227"/>
        <w:rPr>
          <w:rFonts w:ascii="Arial" w:hAnsi="Arial" w:cs="Arial"/>
          <w:sz w:val="24"/>
        </w:rPr>
      </w:pPr>
      <w:r w:rsidRPr="000E1F79">
        <w:rPr>
          <w:rFonts w:ascii="Arial" w:hAnsi="Arial" w:cs="Arial"/>
          <w:sz w:val="24"/>
        </w:rPr>
        <w:t>Nauczyciele, którzy pełnią funkcję mentora są uprawnieni do dodatku funkcyjnego z tego tytułu począwszy od 1 września 2022 r.</w:t>
      </w:r>
    </w:p>
    <w:p w:rsidR="00A77B3E" w:rsidRPr="000E1F79" w:rsidRDefault="000E1F79" w:rsidP="000E1F79">
      <w:pPr>
        <w:spacing w:line="360" w:lineRule="auto"/>
        <w:ind w:left="283" w:firstLine="227"/>
        <w:rPr>
          <w:rFonts w:ascii="Arial" w:hAnsi="Arial" w:cs="Arial"/>
          <w:sz w:val="24"/>
        </w:rPr>
      </w:pPr>
      <w:r w:rsidRPr="000E1F79">
        <w:rPr>
          <w:rFonts w:ascii="Arial" w:hAnsi="Arial" w:cs="Arial"/>
          <w:sz w:val="24"/>
        </w:rPr>
        <w:t>Przepis art. 5 ustawy z dnia 20 lipca 2000 r. o ogłaszaniu aktów normatywnych i niektórych innych aktów prawnych (Dz.U.2019 poz. 1461) dopuszcza możliwość nadania aktowi normatywnemu wstecznej mocy obowiązującej, jeżeli zasady demokratycznego państwa prawnego nie stoją temu na przeszkodzie. Przyjmuje się, że powyższe zasady nie zostaną naruszone, jeżeli przepisy mające działać z mocą wsteczną nie wprowadzają obowiązków, a wsteczne przyznanie określonych uprawnień nie jest równoznaczne z pogorszeniem sytuacji podmiotów.</w:t>
      </w:r>
    </w:p>
    <w:sectPr w:rsidR="00A77B3E" w:rsidRPr="000E1F79">
      <w:footerReference w:type="default" r:id="rId8"/>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465" w:rsidRDefault="000E1F79">
      <w:r>
        <w:separator/>
      </w:r>
    </w:p>
  </w:endnote>
  <w:endnote w:type="continuationSeparator" w:id="0">
    <w:p w:rsidR="000E7465" w:rsidRDefault="000E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chia">
    <w:panose1 w:val="00000000000000000000"/>
    <w:charset w:val="00"/>
    <w:family w:val="modern"/>
    <w:notTrueType/>
    <w:pitch w:val="variable"/>
    <w:sig w:usb0="A000002F" w:usb1="0000004A" w:usb2="00000000" w:usb3="00000000" w:csb0="0000011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B6677D">
      <w:tc>
        <w:tcPr>
          <w:tcW w:w="6804" w:type="dxa"/>
          <w:tcBorders>
            <w:top w:val="nil"/>
            <w:left w:val="nil"/>
            <w:bottom w:val="nil"/>
            <w:right w:val="nil"/>
          </w:tcBorders>
          <w:tcMar>
            <w:top w:w="100" w:type="dxa"/>
          </w:tcMar>
          <w:vAlign w:val="center"/>
        </w:tcPr>
        <w:p w:rsidR="00B6677D" w:rsidRDefault="000E1F79">
          <w:pPr>
            <w:rPr>
              <w:sz w:val="18"/>
            </w:rPr>
          </w:pPr>
          <w:r>
            <w:rPr>
              <w:sz w:val="18"/>
            </w:rPr>
            <w:t>Id: DF435EAC-E3F2-4DE1-A117-B267D4BA4E79. Projekt</w:t>
          </w:r>
        </w:p>
      </w:tc>
      <w:tc>
        <w:tcPr>
          <w:tcW w:w="3402" w:type="dxa"/>
          <w:tcBorders>
            <w:top w:val="nil"/>
            <w:left w:val="nil"/>
            <w:bottom w:val="nil"/>
            <w:right w:val="nil"/>
          </w:tcBorders>
          <w:tcMar>
            <w:top w:w="100" w:type="dxa"/>
          </w:tcMar>
          <w:vAlign w:val="center"/>
        </w:tcPr>
        <w:p w:rsidR="00B6677D" w:rsidRDefault="000E1F79">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rsidR="00B6677D" w:rsidRDefault="00B6677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B6677D">
      <w:tc>
        <w:tcPr>
          <w:tcW w:w="6804" w:type="dxa"/>
          <w:tcBorders>
            <w:top w:val="nil"/>
            <w:left w:val="nil"/>
            <w:bottom w:val="nil"/>
            <w:right w:val="nil"/>
          </w:tcBorders>
          <w:tcMar>
            <w:top w:w="100" w:type="dxa"/>
          </w:tcMar>
          <w:vAlign w:val="center"/>
        </w:tcPr>
        <w:p w:rsidR="00B6677D" w:rsidRDefault="000E1F79">
          <w:pPr>
            <w:rPr>
              <w:sz w:val="18"/>
            </w:rPr>
          </w:pPr>
          <w:r>
            <w:rPr>
              <w:sz w:val="18"/>
            </w:rPr>
            <w:t>Id: DF435EAC-E3F2-4DE1-A117-B267D4BA4E79. Projekt</w:t>
          </w:r>
        </w:p>
      </w:tc>
      <w:tc>
        <w:tcPr>
          <w:tcW w:w="3402" w:type="dxa"/>
          <w:tcBorders>
            <w:top w:val="nil"/>
            <w:left w:val="nil"/>
            <w:bottom w:val="nil"/>
            <w:right w:val="nil"/>
          </w:tcBorders>
          <w:tcMar>
            <w:top w:w="100" w:type="dxa"/>
          </w:tcMar>
          <w:vAlign w:val="center"/>
        </w:tcPr>
        <w:p w:rsidR="00B6677D" w:rsidRDefault="000E1F79">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7</w:t>
          </w:r>
          <w:r>
            <w:rPr>
              <w:sz w:val="18"/>
            </w:rPr>
            <w:fldChar w:fldCharType="end"/>
          </w:r>
        </w:p>
      </w:tc>
    </w:tr>
  </w:tbl>
  <w:p w:rsidR="00B6677D" w:rsidRDefault="00B6677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465" w:rsidRDefault="000E1F79">
      <w:r>
        <w:separator/>
      </w:r>
    </w:p>
  </w:footnote>
  <w:footnote w:type="continuationSeparator" w:id="0">
    <w:p w:rsidR="000E7465" w:rsidRDefault="000E1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8444E232-EC05-4EBA-8E15-851E684477B8}"/>
  </w:docVars>
  <w:rsids>
    <w:rsidRoot w:val="00A77B3E"/>
    <w:rsid w:val="000E1F79"/>
    <w:rsid w:val="000E7465"/>
    <w:rsid w:val="004B6AAD"/>
    <w:rsid w:val="00A77B3E"/>
    <w:rsid w:val="00B6677D"/>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3F700E-73F0-4B9B-BC00-473BC6DF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8444E232-EC05-4EBA-8E15-851E684477B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2502</Words>
  <Characters>16096</Characters>
  <Application>Microsoft Office Word</Application>
  <DocSecurity>4</DocSecurity>
  <Lines>134</Lines>
  <Paragraphs>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Miasta Piotrkowa Trybunalskiego</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ustalenia Regulaminu wynagradzania nauczycieli zatrudnionych w^szkołach i^placówkach oświatowych, dla których organem prowadzącym jest Miasto Piotrków Trybunalski</dc:subject>
  <dc:creator>Cieslik_M</dc:creator>
  <cp:lastModifiedBy>Jarzębska Monika</cp:lastModifiedBy>
  <cp:revision>2</cp:revision>
  <dcterms:created xsi:type="dcterms:W3CDTF">2023-01-20T08:39:00Z</dcterms:created>
  <dcterms:modified xsi:type="dcterms:W3CDTF">2023-01-20T08:39:00Z</dcterms:modified>
  <cp:category>Akt prawny</cp:category>
</cp:coreProperties>
</file>