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C1CF" w14:textId="6D81FFFF" w:rsidR="00ED704E" w:rsidRPr="008657AE" w:rsidRDefault="00ED704E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UCHWAŁA NR </w:t>
      </w:r>
      <w:r>
        <w:rPr>
          <w:rFonts w:ascii="Arial" w:hAnsi="Arial" w:cs="Arial"/>
          <w:sz w:val="24"/>
          <w:szCs w:val="24"/>
        </w:rPr>
        <w:t>LVIII/729/22</w:t>
      </w:r>
      <w:r w:rsidRPr="008657AE">
        <w:rPr>
          <w:rFonts w:ascii="Arial" w:hAnsi="Arial" w:cs="Arial"/>
          <w:sz w:val="24"/>
          <w:szCs w:val="24"/>
        </w:rPr>
        <w:t xml:space="preserve">  </w:t>
      </w:r>
    </w:p>
    <w:p w14:paraId="03E0C951" w14:textId="77777777" w:rsidR="00ED704E" w:rsidRPr="008657AE" w:rsidRDefault="00ED704E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6197D4DB" w14:textId="77777777" w:rsidR="00ED704E" w:rsidRPr="008657AE" w:rsidRDefault="00ED704E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21 grudnia 2022 r.</w:t>
      </w:r>
    </w:p>
    <w:p w14:paraId="1BB3F6EA" w14:textId="77777777" w:rsidR="004941B5" w:rsidRDefault="00ED704E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w sprawie zmiany Wieloletniej Prognozy Finansowej</w:t>
      </w:r>
      <w:r w:rsidR="004941B5">
        <w:rPr>
          <w:rFonts w:ascii="Arial" w:hAnsi="Arial" w:cs="Arial"/>
          <w:sz w:val="24"/>
          <w:szCs w:val="24"/>
        </w:rPr>
        <w:t xml:space="preserve"> </w:t>
      </w:r>
    </w:p>
    <w:p w14:paraId="29E7DE86" w14:textId="0056C443" w:rsidR="00ED704E" w:rsidRDefault="00ED704E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3F508C0D" w14:textId="77777777" w:rsidR="00ED704E" w:rsidRPr="008657AE" w:rsidRDefault="00ED704E" w:rsidP="00ED70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19B29B" w14:textId="77777777" w:rsidR="00ED704E" w:rsidRPr="008657AE" w:rsidRDefault="00ED704E" w:rsidP="00ED704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559, poz. 583</w:t>
      </w:r>
      <w:r>
        <w:rPr>
          <w:rFonts w:ascii="Arial" w:hAnsi="Arial" w:cs="Arial"/>
          <w:sz w:val="24"/>
          <w:szCs w:val="24"/>
        </w:rPr>
        <w:t>, poz. 1005, poz. 1079, poz. 1561</w:t>
      </w:r>
      <w:r w:rsidRPr="008657AE">
        <w:rPr>
          <w:rFonts w:ascii="Arial" w:hAnsi="Arial" w:cs="Arial"/>
          <w:sz w:val="24"/>
          <w:szCs w:val="24"/>
        </w:rPr>
        <w:t>) oraz art. 226, art. 227, art. 228, art. 230 ust. 6, 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1634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1692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1079, poz. 1747, poz. 1768, poz. 1725, poz. 1964, poz. 2414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 co następuje:</w:t>
      </w:r>
    </w:p>
    <w:p w14:paraId="44E59CA8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LVII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717</w:t>
      </w:r>
      <w:r w:rsidRPr="008657AE">
        <w:rPr>
          <w:color w:val="000000" w:themeColor="text1"/>
          <w:sz w:val="24"/>
          <w:szCs w:val="24"/>
        </w:rPr>
        <w:t xml:space="preserve">/22 Rady Miasta Piotrkowa Trybunalskiego z dnia </w:t>
      </w:r>
      <w:r>
        <w:rPr>
          <w:color w:val="000000" w:themeColor="text1"/>
          <w:sz w:val="24"/>
          <w:szCs w:val="24"/>
        </w:rPr>
        <w:t xml:space="preserve">30 listopada </w:t>
      </w:r>
      <w:r w:rsidRPr="008657AE">
        <w:rPr>
          <w:color w:val="000000" w:themeColor="text1"/>
          <w:sz w:val="24"/>
          <w:szCs w:val="24"/>
        </w:rPr>
        <w:t>2022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r. w sprawie zmiany Wieloletniej Prognozy Finansowej Miasta Piotrkowa Trybunalskiego, 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37B7A349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L</w:t>
      </w:r>
      <w:r>
        <w:rPr>
          <w:color w:val="000000" w:themeColor="text1"/>
          <w:sz w:val="24"/>
          <w:szCs w:val="24"/>
        </w:rPr>
        <w:t>VII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717</w:t>
      </w:r>
      <w:r w:rsidRPr="008657AE">
        <w:rPr>
          <w:color w:val="000000" w:themeColor="text1"/>
          <w:sz w:val="24"/>
          <w:szCs w:val="24"/>
        </w:rPr>
        <w:t xml:space="preserve">/22 Rady Miasta Piotrkowa Trybunalskiego z dnia </w:t>
      </w:r>
      <w:r>
        <w:rPr>
          <w:color w:val="000000" w:themeColor="text1"/>
          <w:sz w:val="24"/>
          <w:szCs w:val="24"/>
        </w:rPr>
        <w:t>30 listopada</w:t>
      </w:r>
      <w:r w:rsidRPr="008657AE">
        <w:rPr>
          <w:color w:val="000000" w:themeColor="text1"/>
          <w:sz w:val="24"/>
          <w:szCs w:val="24"/>
        </w:rPr>
        <w:t xml:space="preserve"> 2022 r. w sprawie </w:t>
      </w:r>
      <w:r>
        <w:rPr>
          <w:color w:val="000000" w:themeColor="text1"/>
          <w:sz w:val="24"/>
          <w:szCs w:val="24"/>
        </w:rPr>
        <w:t>zmiany</w:t>
      </w:r>
      <w:r w:rsidRPr="008657AE">
        <w:rPr>
          <w:color w:val="000000" w:themeColor="text1"/>
          <w:sz w:val="24"/>
          <w:szCs w:val="24"/>
        </w:rPr>
        <w:t xml:space="preserve">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1B000196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6A4997B4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244DC7C8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56F61301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 xml:space="preserve">2) zaciągania zobowiązań z tytułu umów, których realizacja w roku budżetowym </w:t>
      </w:r>
      <w:r>
        <w:rPr>
          <w:color w:val="000000" w:themeColor="text1"/>
          <w:sz w:val="24"/>
          <w:szCs w:val="24"/>
        </w:rPr>
        <w:t xml:space="preserve">              </w:t>
      </w:r>
      <w:r w:rsidRPr="008657AE">
        <w:rPr>
          <w:color w:val="000000" w:themeColor="text1"/>
          <w:sz w:val="24"/>
          <w:szCs w:val="24"/>
        </w:rPr>
        <w:t xml:space="preserve">i w latach następnych jest niezbędna do zapewnienia ciągłości działania jednostki </w:t>
      </w:r>
      <w:r>
        <w:rPr>
          <w:color w:val="000000" w:themeColor="text1"/>
          <w:sz w:val="24"/>
          <w:szCs w:val="24"/>
        </w:rPr>
        <w:t xml:space="preserve">          </w:t>
      </w:r>
      <w:r w:rsidRPr="008657AE">
        <w:rPr>
          <w:color w:val="000000" w:themeColor="text1"/>
          <w:sz w:val="24"/>
          <w:szCs w:val="24"/>
        </w:rPr>
        <w:t>i z których wynikające płatności wykraczają poza rok budżetowy.</w:t>
      </w:r>
    </w:p>
    <w:p w14:paraId="3943F4EA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F178FE4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3. Wykonanie uchwały powierza się Prezydentowi Miasta.</w:t>
      </w:r>
    </w:p>
    <w:p w14:paraId="45F82AB1" w14:textId="77777777" w:rsidR="00ED704E" w:rsidRPr="008657AE" w:rsidRDefault="00ED704E" w:rsidP="00ED704E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480A5F7" w14:textId="228EEAF0" w:rsidR="005560CB" w:rsidRDefault="00ED704E" w:rsidP="00ED704E">
      <w:pPr>
        <w:spacing w:line="360" w:lineRule="auto"/>
      </w:pPr>
      <w:r w:rsidRPr="008657AE">
        <w:rPr>
          <w:rFonts w:ascii="Arial" w:hAnsi="Arial" w:cs="Arial"/>
          <w:sz w:val="24"/>
          <w:szCs w:val="24"/>
        </w:rPr>
        <w:t>§ 4. Uchwała wchodzi w życie z dniem podjęcia.</w:t>
      </w:r>
    </w:p>
    <w:sectPr w:rsidR="0055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4E"/>
    <w:rsid w:val="004941B5"/>
    <w:rsid w:val="005560CB"/>
    <w:rsid w:val="00E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3BFC"/>
  <w15:chartTrackingRefBased/>
  <w15:docId w15:val="{074114A2-0FAE-46D0-8A7C-E0B4AD9D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0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ED704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4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2022-12-27T12:39:00Z</dcterms:created>
  <dcterms:modified xsi:type="dcterms:W3CDTF">2022-12-27T12:39:00Z</dcterms:modified>
</cp:coreProperties>
</file>