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78" w:rsidRPr="00545456" w:rsidRDefault="00635F78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</w:p>
    <w:p w:rsidR="00A739AA" w:rsidRPr="00545456" w:rsidRDefault="00635F78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DRM.0012.7.9</w:t>
      </w:r>
      <w:r w:rsidR="002C1006" w:rsidRPr="00545456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7B7EB4"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35F78" w:rsidRPr="00545456" w:rsidRDefault="00635F78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DRM.0012.1.6.2022</w:t>
      </w:r>
    </w:p>
    <w:p w:rsidR="009573AB" w:rsidRPr="00545456" w:rsidRDefault="009573AB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2C1006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Protokół Nr </w:t>
      </w:r>
      <w:r w:rsidR="00635F78" w:rsidRPr="00545456">
        <w:rPr>
          <w:rFonts w:ascii="Arial" w:eastAsia="Times New Roman" w:hAnsi="Arial" w:cs="Arial"/>
          <w:sz w:val="24"/>
          <w:szCs w:val="24"/>
          <w:lang w:eastAsia="pl-PL"/>
        </w:rPr>
        <w:t>51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:rsidR="00635F78" w:rsidRPr="00545456" w:rsidRDefault="0048070E" w:rsidP="00545456">
      <w:pPr>
        <w:keepNext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Protokół Nr</w:t>
      </w:r>
      <w:r w:rsidR="002D4C36"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 30</w:t>
      </w:r>
      <w:r w:rsidR="00635F78" w:rsidRPr="00545456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:rsidR="009573AB" w:rsidRPr="00545456" w:rsidRDefault="007B7EB4" w:rsidP="00545456">
      <w:pPr>
        <w:spacing w:after="0" w:line="276" w:lineRule="auto"/>
        <w:ind w:right="74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635F78" w:rsidRPr="00545456">
        <w:rPr>
          <w:rFonts w:ascii="Arial" w:eastAsiaTheme="minorEastAsia" w:hAnsi="Arial" w:cs="Arial"/>
          <w:sz w:val="24"/>
          <w:szCs w:val="24"/>
          <w:lang w:eastAsia="pl-PL"/>
        </w:rPr>
        <w:t>e wspólnego</w:t>
      </w:r>
      <w:r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 posiedzenia Komisji Administracji, Bezpieczeństwa Publicznego </w:t>
      </w:r>
      <w:r w:rsidRPr="00545456">
        <w:rPr>
          <w:rFonts w:ascii="Arial" w:eastAsiaTheme="minorEastAsia" w:hAnsi="Arial" w:cs="Arial"/>
          <w:sz w:val="24"/>
          <w:szCs w:val="24"/>
          <w:lang w:eastAsia="pl-PL"/>
        </w:rPr>
        <w:br/>
        <w:t>i Inwentaryzacji Mienia K</w:t>
      </w:r>
      <w:r w:rsidR="005B000F" w:rsidRPr="00545456">
        <w:rPr>
          <w:rFonts w:ascii="Arial" w:eastAsiaTheme="minorEastAsia" w:hAnsi="Arial" w:cs="Arial"/>
          <w:sz w:val="24"/>
          <w:szCs w:val="24"/>
          <w:lang w:eastAsia="pl-PL"/>
        </w:rPr>
        <w:t>omunalnego</w:t>
      </w:r>
      <w:r w:rsidR="00635F78"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 oraz Komisji Rewizyjnej</w:t>
      </w:r>
      <w:r w:rsidR="005B000F"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 w dniu </w:t>
      </w:r>
      <w:r w:rsidR="00635F78"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19 września </w:t>
      </w:r>
      <w:r w:rsidR="002C1006" w:rsidRPr="00545456">
        <w:rPr>
          <w:rFonts w:ascii="Arial" w:eastAsiaTheme="minorEastAsia" w:hAnsi="Arial" w:cs="Arial"/>
          <w:sz w:val="24"/>
          <w:szCs w:val="24"/>
          <w:lang w:eastAsia="pl-PL"/>
        </w:rPr>
        <w:t>2022</w:t>
      </w:r>
      <w:r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 roku, w Urzędzie Miasta Piotrkowa Trybunalskiego, Pasaż Karola Rudowskiego 10, w sali </w:t>
      </w:r>
      <w:r w:rsidR="002C1006" w:rsidRPr="00545456">
        <w:rPr>
          <w:rFonts w:ascii="Arial" w:eastAsiaTheme="minorEastAsia" w:hAnsi="Arial" w:cs="Arial"/>
          <w:sz w:val="24"/>
          <w:szCs w:val="24"/>
          <w:lang w:eastAsia="pl-PL"/>
        </w:rPr>
        <w:t xml:space="preserve">nr 1, w godzinach </w:t>
      </w:r>
      <w:r w:rsidR="00635F78" w:rsidRPr="00545456">
        <w:rPr>
          <w:rFonts w:ascii="Arial" w:eastAsiaTheme="minorEastAsia" w:hAnsi="Arial" w:cs="Arial"/>
          <w:sz w:val="24"/>
          <w:szCs w:val="24"/>
          <w:lang w:eastAsia="pl-PL"/>
        </w:rPr>
        <w:t>od 17</w:t>
      </w:r>
      <w:r w:rsidR="005B000F" w:rsidRPr="00545456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635F78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1</w:t>
      </w:r>
      <w:r w:rsidR="00273B4F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5</w:t>
      </w:r>
      <w:r w:rsidR="00635F78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A739B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do 17.50</w:t>
      </w:r>
    </w:p>
    <w:p w:rsidR="00A739AA" w:rsidRPr="00545456" w:rsidRDefault="00A739AA" w:rsidP="00545456">
      <w:pPr>
        <w:spacing w:after="0" w:line="276" w:lineRule="auto"/>
        <w:ind w:right="74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:rsidR="009573AB" w:rsidRPr="00545456" w:rsidRDefault="007B7EB4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Radni obecni </w:t>
      </w:r>
      <w:r w:rsidR="00635F78" w:rsidRPr="00545456">
        <w:rPr>
          <w:rFonts w:ascii="Arial" w:eastAsia="Times New Roman" w:hAnsi="Arial" w:cs="Arial"/>
          <w:sz w:val="24"/>
          <w:szCs w:val="24"/>
          <w:lang w:eastAsia="pl-PL"/>
        </w:rPr>
        <w:t>- Komisja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 Administracji, Bezpieczeństwa Publicznego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br/>
        <w:t>i Inwentaryzacji Mienia Komunalnego: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Monika Tera – Przewodnicząca Komisji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Bogumił Pęcina – Wiceprzewodniczący Komisji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Dariusz Cecotka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Rafał Czajka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Konrad Czyżyński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Jan Dziemdziora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Ludomir Pencina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Andrzej Piekarski</w:t>
      </w:r>
    </w:p>
    <w:p w:rsidR="009573AB" w:rsidRPr="00545456" w:rsidRDefault="007B7EB4" w:rsidP="00545456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Sergiusz Stachaczyk</w:t>
      </w:r>
    </w:p>
    <w:p w:rsidR="00635F78" w:rsidRPr="00545456" w:rsidRDefault="00635F78" w:rsidP="00545456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35F78" w:rsidRPr="00545456" w:rsidRDefault="00635F78" w:rsidP="00545456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Radni obecni - Komisja Rewizyjna: 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Dariusz Cecotka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Urszula Czubała – Przewodnicząca Komisji 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Konrad Czyżyński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Łukasz Janik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Lech Kaźmierczak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Halina Madej – Wiceprzewodnicząca Komisji </w:t>
      </w:r>
    </w:p>
    <w:p w:rsidR="00FB1329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p w:rsidR="00635F78" w:rsidRPr="00545456" w:rsidRDefault="00FB1329" w:rsidP="00545456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Jadwiga Wójcik </w:t>
      </w:r>
    </w:p>
    <w:p w:rsidR="009573AB" w:rsidRPr="00545456" w:rsidRDefault="009573AB" w:rsidP="00545456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7B7EB4" w:rsidP="00545456">
      <w:pPr>
        <w:spacing w:after="0" w:line="276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W posiedzeniu uczestniczyli także:</w:t>
      </w:r>
    </w:p>
    <w:p w:rsidR="008C366B" w:rsidRPr="00545456" w:rsidRDefault="007B7EB4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Andrzej Kacperek –</w:t>
      </w:r>
      <w:r w:rsidR="00E2670D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Wiceprezydent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Miasta Piotrkowa Trybunalskiego</w:t>
      </w:r>
    </w:p>
    <w:p w:rsidR="00E2670D" w:rsidRPr="00545456" w:rsidRDefault="00E2670D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Adam Karzewnik – Wiceprezydent Miasta Piotrkowa Trybunalskiego</w:t>
      </w:r>
    </w:p>
    <w:p w:rsidR="00E2670D" w:rsidRPr="00545456" w:rsidRDefault="00E2670D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Bogdan Munik – Sekretarz Miasta Piotrkowa Trybunalskiego</w:t>
      </w:r>
    </w:p>
    <w:p w:rsidR="002C1006" w:rsidRPr="00545456" w:rsidRDefault="002C1006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Karol Szokalski – Dyrektor Zarządu Dróg i Utrzymania Miasta</w:t>
      </w:r>
    </w:p>
    <w:p w:rsidR="00FB1329" w:rsidRPr="00545456" w:rsidRDefault="00FB1329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Józef Dziubecki – Dyrektor Biura Inwestycji i Remontów </w:t>
      </w:r>
    </w:p>
    <w:p w:rsidR="003A6AB9" w:rsidRPr="00545456" w:rsidRDefault="003A6AB9" w:rsidP="00545456">
      <w:pPr>
        <w:numPr>
          <w:ilvl w:val="0"/>
          <w:numId w:val="2"/>
        </w:numPr>
        <w:spacing w:after="0" w:line="276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Dorota Kosterska – Kierownik Referatu Gospodarowania Odpadami Komunalnymi</w:t>
      </w:r>
    </w:p>
    <w:p w:rsidR="009573AB" w:rsidRPr="00545456" w:rsidRDefault="007B7EB4" w:rsidP="00545456">
      <w:pPr>
        <w:numPr>
          <w:ilvl w:val="0"/>
          <w:numId w:val="2"/>
        </w:numPr>
        <w:spacing w:after="0" w:line="276" w:lineRule="auto"/>
        <w:ind w:right="-648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Barbara Król – kierownik </w:t>
      </w:r>
      <w:r w:rsidRPr="0054545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5F5F5"/>
        </w:rPr>
        <w:t>Referatu Gospodarki Komunalnej i Ochrony Środowiska</w:t>
      </w:r>
    </w:p>
    <w:p w:rsidR="009573AB" w:rsidRPr="00545456" w:rsidRDefault="009573AB" w:rsidP="00545456">
      <w:pPr>
        <w:spacing w:after="0" w:line="276" w:lineRule="auto"/>
        <w:ind w:left="644" w:right="-6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7B7EB4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Obradom przewodniczyła Pani Monika Tera - Przewodnicząca Komisji Administracji, Bezpieczeństwa Publicznego i Inwentaryzacji Mienia Komunalnego.</w:t>
      </w:r>
    </w:p>
    <w:p w:rsidR="00F01D10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1</w:t>
      </w:r>
    </w:p>
    <w:p w:rsidR="009573AB" w:rsidRPr="00545456" w:rsidRDefault="007B7EB4" w:rsidP="0054545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Przewodnicząca obrad pani Monika Tera stwierdziła, że w chwili rozpoczęcia posiedzenia na sali jest obecnych 9 członków Komisji Administracji, Bezpieczeństwa Publicznego i Inwentaryzacji Mienia Komunalnego</w:t>
      </w:r>
      <w:r w:rsidRPr="00545456">
        <w:rPr>
          <w:rFonts w:ascii="Arial" w:hAnsi="Arial" w:cs="Arial"/>
          <w:sz w:val="24"/>
          <w:szCs w:val="24"/>
        </w:rPr>
        <w:t>, co stanowi quorum i obrady są prawomocne</w:t>
      </w:r>
      <w:r w:rsidR="00987C8A" w:rsidRPr="00545456">
        <w:rPr>
          <w:rFonts w:ascii="Arial" w:hAnsi="Arial" w:cs="Arial"/>
          <w:sz w:val="24"/>
          <w:szCs w:val="24"/>
        </w:rPr>
        <w:t>.</w:t>
      </w:r>
      <w:r w:rsidRPr="00545456">
        <w:rPr>
          <w:rFonts w:ascii="Arial" w:hAnsi="Arial" w:cs="Arial"/>
          <w:sz w:val="24"/>
          <w:szCs w:val="24"/>
        </w:rPr>
        <w:t xml:space="preserve"> </w:t>
      </w:r>
    </w:p>
    <w:p w:rsidR="00635F78" w:rsidRPr="00545456" w:rsidRDefault="00635F78" w:rsidP="0054545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:rsidR="009573AB" w:rsidRPr="00545456" w:rsidRDefault="00635F78" w:rsidP="0054545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545456">
        <w:rPr>
          <w:rFonts w:ascii="Arial" w:hAnsi="Arial" w:cs="Arial"/>
          <w:sz w:val="24"/>
          <w:szCs w:val="24"/>
        </w:rPr>
        <w:t xml:space="preserve">Przewodnicząca Komisji Rewizyjnej pani Urszula Czubała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stwierdziła, że w chwili rozpoczęcia posiedzenia na sali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obecnych 8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członków Komisji</w:t>
      </w:r>
      <w:r w:rsidRPr="00545456">
        <w:rPr>
          <w:rFonts w:ascii="Arial" w:hAnsi="Arial" w:cs="Arial"/>
          <w:sz w:val="24"/>
          <w:szCs w:val="24"/>
        </w:rPr>
        <w:t>, co stanow</w:t>
      </w:r>
      <w:r w:rsidR="00987C8A" w:rsidRPr="00545456">
        <w:rPr>
          <w:rFonts w:ascii="Arial" w:hAnsi="Arial" w:cs="Arial"/>
          <w:sz w:val="24"/>
          <w:szCs w:val="24"/>
        </w:rPr>
        <w:t>i quorum i obrady są prawomocne.</w:t>
      </w:r>
    </w:p>
    <w:p w:rsidR="00545456" w:rsidRDefault="00545456" w:rsidP="00545456">
      <w:pPr>
        <w:spacing w:after="0" w:line="276" w:lineRule="auto"/>
        <w:ind w:left="1080" w:hanging="1080"/>
        <w:contextualSpacing/>
        <w:rPr>
          <w:rFonts w:ascii="Arial" w:hAnsi="Arial" w:cs="Arial"/>
          <w:sz w:val="24"/>
          <w:szCs w:val="24"/>
          <w:u w:val="single"/>
        </w:rPr>
      </w:pPr>
    </w:p>
    <w:p w:rsidR="00F01D10" w:rsidRPr="00545456" w:rsidRDefault="00F01D10" w:rsidP="00545456">
      <w:pPr>
        <w:spacing w:after="0" w:line="276" w:lineRule="auto"/>
        <w:ind w:left="1080" w:hanging="1080"/>
        <w:contextualSpacing/>
        <w:rPr>
          <w:rFonts w:ascii="Arial" w:hAnsi="Arial" w:cs="Arial"/>
          <w:sz w:val="24"/>
          <w:szCs w:val="24"/>
        </w:rPr>
      </w:pPr>
      <w:r w:rsidRPr="00545456">
        <w:rPr>
          <w:rFonts w:ascii="Arial" w:hAnsi="Arial" w:cs="Arial"/>
          <w:sz w:val="24"/>
          <w:szCs w:val="24"/>
        </w:rPr>
        <w:t>Punkt 2</w:t>
      </w:r>
    </w:p>
    <w:p w:rsidR="005C4110" w:rsidRPr="00545456" w:rsidRDefault="007B7EB4" w:rsidP="00545456">
      <w:pPr>
        <w:pStyle w:val="Default"/>
        <w:spacing w:line="276" w:lineRule="auto"/>
        <w:rPr>
          <w:rFonts w:ascii="Arial" w:hAnsi="Arial" w:cs="Arial"/>
          <w:color w:val="auto"/>
        </w:rPr>
      </w:pPr>
      <w:r w:rsidRPr="00545456">
        <w:rPr>
          <w:rFonts w:ascii="Arial" w:hAnsi="Arial" w:cs="Arial"/>
          <w:color w:val="auto"/>
        </w:rPr>
        <w:t xml:space="preserve"> Proponowany porządek dzienny posiedzenia: </w:t>
      </w:r>
    </w:p>
    <w:p w:rsidR="00635F78" w:rsidRPr="00545456" w:rsidRDefault="00635F78" w:rsidP="00545456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hAnsi="Arial" w:cs="Arial"/>
          <w:sz w:val="24"/>
          <w:szCs w:val="24"/>
        </w:rPr>
        <w:t xml:space="preserve">Przyjęcie protokołu z Komisji Administracji,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Inwentaryzacji Mienia Komunalnego z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dnia 30 sierpnia 2022 r. 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hAnsi="Arial" w:cs="Arial"/>
          <w:sz w:val="24"/>
          <w:szCs w:val="24"/>
        </w:rPr>
        <w:t xml:space="preserve">Przyjęcie protokołu z </w:t>
      </w:r>
      <w:r w:rsidRPr="00545456">
        <w:rPr>
          <w:rFonts w:ascii="Arial" w:hAnsi="Arial" w:cs="Arial"/>
          <w:color w:val="000000" w:themeColor="text1"/>
          <w:sz w:val="24"/>
          <w:szCs w:val="24"/>
        </w:rPr>
        <w:t xml:space="preserve">Komisji Rewizyjnej z dnia 27 czerwca 2022 r. 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kształtowaniu się Wieloletniej Prognozy Finansowej Miasta Piotrkowa Trybunalskiego za I półrocze 2022 roku. (KABPiIMK)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przebiegu wykonania budżetu Miasta Pi</w:t>
      </w:r>
      <w:r w:rsidR="00545456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otrkowa Trybunalskiego za </w:t>
      </w: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 półrocze 2022 roku w następujących działach: (KABPiIMK)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600- Transport i Łączność.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750- Administracja publiczna.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751- Urzędy naczelnych organ</w:t>
      </w:r>
      <w:r w:rsidR="00545456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ów władzy państwowej, kontroli </w:t>
      </w:r>
      <w:r w:rsidR="00545456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 ochrony prawa oraz sądownictwa.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754 - Bezpieczeństwo publiczne i ochrona przeciwpożarowa.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755 – Wymiar sprawiedliwości,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spacing w:after="0"/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900 - Gospodarka komunalna i ochrona środowiska.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kształtowaniu się Wieloletniej Prognozy Finansowej Miasta Piotrkowa Trybunalskiego za I półrocze 2022 roku. (KR)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45456">
        <w:rPr>
          <w:rFonts w:ascii="Arial" w:hAnsi="Arial" w:cs="Arial"/>
          <w:noProof/>
          <w:sz w:val="24"/>
          <w:szCs w:val="24"/>
        </w:rPr>
        <w:t>Informacja o przebiegu wykonania budżetu Mias</w:t>
      </w:r>
      <w:r w:rsidR="00545456">
        <w:rPr>
          <w:rFonts w:ascii="Arial" w:hAnsi="Arial" w:cs="Arial"/>
          <w:noProof/>
          <w:sz w:val="24"/>
          <w:szCs w:val="24"/>
        </w:rPr>
        <w:t xml:space="preserve">ta Piotrkowa Trybunalskiego za </w:t>
      </w:r>
      <w:r w:rsidRPr="00545456">
        <w:rPr>
          <w:rFonts w:ascii="Arial" w:hAnsi="Arial" w:cs="Arial"/>
          <w:noProof/>
          <w:sz w:val="24"/>
          <w:szCs w:val="24"/>
        </w:rPr>
        <w:t>I półrocze 2022 roku. (KR)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545456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635F78" w:rsidRPr="00545456" w:rsidRDefault="00635F78" w:rsidP="00545456">
      <w:pPr>
        <w:numPr>
          <w:ilvl w:val="0"/>
          <w:numId w:val="3"/>
        </w:numPr>
        <w:spacing w:after="0" w:line="24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635F78" w:rsidRPr="00545456" w:rsidRDefault="00635F78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3</w:t>
      </w:r>
    </w:p>
    <w:p w:rsidR="00635F78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hAnsi="Arial" w:cs="Arial"/>
          <w:sz w:val="24"/>
          <w:szCs w:val="24"/>
        </w:rPr>
        <w:t xml:space="preserve">Przyjęcie protokołu z Komisji Administracji,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Inwentaryzacji Mienia Komunalnego z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dnia 30 sierpnia 2022 r. </w:t>
      </w:r>
    </w:p>
    <w:p w:rsidR="00635F78" w:rsidRPr="00545456" w:rsidRDefault="007B7EB4" w:rsidP="00545456">
      <w:pPr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wyniku głosowania,</w:t>
      </w:r>
      <w:r w:rsidR="008C366B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22DD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rzy 8</w:t>
      </w:r>
      <w:r w:rsidR="00D22DD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głosa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 za, bez głosów przeciwnych i 2</w:t>
      </w:r>
      <w:r w:rsidR="009824A3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głosach</w:t>
      </w:r>
      <w:r w:rsidR="00D22DD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wstrzymujących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Komisja przyjęła bez uwag protokół</w:t>
      </w:r>
      <w:r w:rsidR="008649C6" w:rsidRPr="005454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5456" w:rsidRDefault="00545456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545456" w:rsidRDefault="00F01D10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4</w:t>
      </w:r>
    </w:p>
    <w:p w:rsidR="00635F78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hAnsi="Arial" w:cs="Arial"/>
          <w:sz w:val="24"/>
          <w:szCs w:val="24"/>
        </w:rPr>
        <w:t xml:space="preserve">Przyjęcie protokołu z </w:t>
      </w:r>
      <w:r w:rsidRPr="00545456">
        <w:rPr>
          <w:rFonts w:ascii="Arial" w:hAnsi="Arial" w:cs="Arial"/>
          <w:color w:val="000000" w:themeColor="text1"/>
          <w:sz w:val="24"/>
          <w:szCs w:val="24"/>
        </w:rPr>
        <w:t xml:space="preserve">Komisji Rewizyjnej z dnia 27 czerwca 2022 r. </w:t>
      </w:r>
    </w:p>
    <w:p w:rsidR="00635F78" w:rsidRPr="00545456" w:rsidRDefault="00635F78" w:rsidP="00545456">
      <w:pPr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wyniku głosowania, 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 7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głosach za, 1 głosie przeciw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 głosów wstrzymujących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Komisja przyjęła bez uwag protokół</w:t>
      </w:r>
      <w:r w:rsidRPr="005454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4110" w:rsidRPr="00545456" w:rsidRDefault="005C4110" w:rsidP="0054545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B000F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Punkt 5</w:t>
      </w:r>
    </w:p>
    <w:p w:rsidR="00635F78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kształtowaniu się Wieloletniej Prognozy Finansowej Miasta Piotrkowa Trybunalskiego za I półrocze 2022 roku. (KABPiIMK)</w:t>
      </w:r>
    </w:p>
    <w:p w:rsidR="00635F78" w:rsidRPr="00545456" w:rsidRDefault="00635F78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35F78" w:rsidRPr="00545456" w:rsidRDefault="00463C8E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454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Członkowie Komisji Administracji,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i Inwentaryzacji Mienia Komunalnego zapoznali się z Informacją przyjmując ją do wiadomości. </w:t>
      </w:r>
    </w:p>
    <w:p w:rsidR="005B000F" w:rsidRPr="00545456" w:rsidRDefault="005B000F" w:rsidP="0054545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573AB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6</w:t>
      </w:r>
    </w:p>
    <w:p w:rsidR="00635F78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Informacja o przebiegu wykonania budżetu Miasta Piotrkowa Trybunalskiego za </w:t>
      </w: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I półrocze 2022 roku w następujących działach: (KABPiIMK)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600- Transport i Łączność.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750- Administracja publiczna.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425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751- Urzędy naczelnych organów władzy państwo</w:t>
      </w:r>
      <w:r w:rsidR="00545456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wej, kontroli </w:t>
      </w:r>
      <w:r w:rsidR="00545456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 ochrony prawa oraz sądownictwa.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firstLine="491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754 - Bezpieczeństwo publiczne i ochrona przeciwpożarowa.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ind w:left="1418" w:hanging="567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755 – Wymiar sprawiedliwości,</w:t>
      </w:r>
    </w:p>
    <w:p w:rsidR="00635F78" w:rsidRPr="00545456" w:rsidRDefault="00635F78" w:rsidP="00545456">
      <w:pPr>
        <w:pStyle w:val="Akapitzlist"/>
        <w:numPr>
          <w:ilvl w:val="1"/>
          <w:numId w:val="27"/>
        </w:numPr>
        <w:spacing w:after="0"/>
        <w:ind w:left="1418" w:hanging="567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Dział 900 - Gospodarka komunalna i ochrona środowiska.</w:t>
      </w:r>
    </w:p>
    <w:p w:rsidR="00463C8E" w:rsidRPr="00545456" w:rsidRDefault="00463C8E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63C8E" w:rsidRPr="00545456" w:rsidRDefault="00463C8E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454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Członkowie Komisji Administracji, </w:t>
      </w:r>
      <w:r w:rsidRPr="00545456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i Inwentaryzacji Mienia Komunalnego zapoznali się z Informacją przyjmując ją do wiadomości. </w:t>
      </w:r>
    </w:p>
    <w:p w:rsidR="00A739AA" w:rsidRPr="00545456" w:rsidRDefault="00A739AA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F01D10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7</w:t>
      </w:r>
    </w:p>
    <w:p w:rsidR="00463C8E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kształtowaniu się Wieloletniej Prognozy Finansowej Miasta Piotrkowa Trybunalskiego za I półrocze 2022 roku. (KR)</w:t>
      </w:r>
    </w:p>
    <w:p w:rsidR="00635F78" w:rsidRPr="00545456" w:rsidRDefault="00463C8E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454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Członkowie Komisji Rewizyjnej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zapoznali się z Informacją przyjmując ją do wiadomości. </w:t>
      </w:r>
    </w:p>
    <w:p w:rsidR="000F27F9" w:rsidRPr="00545456" w:rsidRDefault="000F27F9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F1ACF" w:rsidRPr="00545456" w:rsidRDefault="006F1ACF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8</w:t>
      </w:r>
    </w:p>
    <w:p w:rsidR="006F1ACF" w:rsidRPr="00545456" w:rsidRDefault="00635F78" w:rsidP="00545456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45456">
        <w:rPr>
          <w:rFonts w:ascii="Arial" w:hAnsi="Arial" w:cs="Arial"/>
          <w:noProof/>
          <w:sz w:val="24"/>
          <w:szCs w:val="24"/>
        </w:rPr>
        <w:t xml:space="preserve">Informacja o przebiegu wykonania budżetu Miasta Piotrkowa Trybunalskiego za </w:t>
      </w:r>
      <w:r w:rsidRPr="00545456">
        <w:rPr>
          <w:rFonts w:ascii="Arial" w:hAnsi="Arial" w:cs="Arial"/>
          <w:noProof/>
          <w:sz w:val="24"/>
          <w:szCs w:val="24"/>
        </w:rPr>
        <w:br/>
        <w:t>I półrocze 2022 roku. (KR)</w:t>
      </w:r>
    </w:p>
    <w:p w:rsidR="00635F78" w:rsidRPr="00545456" w:rsidRDefault="00463C8E" w:rsidP="00545456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Członkowie Komisji Rewizyjnej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zapoznali się z Informacją przyjmując ją do wiadomości. </w:t>
      </w:r>
    </w:p>
    <w:p w:rsidR="000F27F9" w:rsidRPr="00545456" w:rsidRDefault="000F27F9" w:rsidP="0054545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F1ACF" w:rsidRPr="00545456" w:rsidRDefault="006F1ACF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Punkt 9</w:t>
      </w:r>
    </w:p>
    <w:p w:rsidR="005C4110" w:rsidRPr="00545456" w:rsidRDefault="005C4110" w:rsidP="00545456">
      <w:pPr>
        <w:spacing w:after="0" w:line="240" w:lineRule="auto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545456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F26AE2" w:rsidRPr="00545456" w:rsidRDefault="00F26AE2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3C8E" w:rsidRPr="00545456" w:rsidRDefault="00AB36AF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Bogumił Pęcina odczytał korespondencję </w:t>
      </w:r>
      <w:r w:rsidR="00307FD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kierowaną do Komisji</w:t>
      </w:r>
      <w:r w:rsidR="00463C8E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Administracji, Bezpieczeństwa Publicznego i Inwentaryzacji Mienia Komunalnego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</w:p>
    <w:p w:rsidR="00463C8E" w:rsidRPr="00545456" w:rsidRDefault="00463C8E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739AA" w:rsidRPr="00545456" w:rsidRDefault="00463C8E" w:rsidP="005454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456">
        <w:rPr>
          <w:rFonts w:ascii="Arial" w:hAnsi="Arial" w:cs="Arial"/>
          <w:sz w:val="24"/>
          <w:szCs w:val="24"/>
        </w:rPr>
        <w:t>Komisja zapoznała się i przyjęła do wiadomości pismo mieszkanki z dnia 14 września 2022 r. w sprawie uciążliwości w postaci hałasu, spalin, kurzu i różnego rodzaju odpadów</w:t>
      </w:r>
      <w:r w:rsidR="00987C8A" w:rsidRPr="00545456">
        <w:rPr>
          <w:rFonts w:ascii="Arial" w:hAnsi="Arial" w:cs="Arial"/>
          <w:sz w:val="24"/>
          <w:szCs w:val="24"/>
        </w:rPr>
        <w:t>.</w:t>
      </w:r>
    </w:p>
    <w:p w:rsidR="00545456" w:rsidRPr="00545456" w:rsidRDefault="00545456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545456" w:rsidRDefault="006F1ACF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Pu</w:t>
      </w:r>
      <w:r w:rsidR="004602DB" w:rsidRPr="0054545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35F78" w:rsidRPr="00545456">
        <w:rPr>
          <w:rFonts w:ascii="Arial" w:eastAsia="Times New Roman" w:hAnsi="Arial" w:cs="Arial"/>
          <w:sz w:val="24"/>
          <w:szCs w:val="24"/>
          <w:lang w:eastAsia="pl-PL"/>
        </w:rPr>
        <w:t>kt 10</w:t>
      </w:r>
    </w:p>
    <w:p w:rsidR="00C20157" w:rsidRPr="00545456" w:rsidRDefault="007B7EB4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sz w:val="24"/>
          <w:szCs w:val="24"/>
          <w:lang w:eastAsia="pl-PL"/>
        </w:rPr>
        <w:t>Sprawy różne.</w:t>
      </w:r>
    </w:p>
    <w:p w:rsidR="000F27F9" w:rsidRPr="00545456" w:rsidRDefault="000F27F9" w:rsidP="005454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5F78" w:rsidRPr="00545456" w:rsidRDefault="00463C8E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Ludomir Pencina sygnalizował panu Dyrektorowi D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ziubeckiemu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ż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na placu budowy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Parku Belzackiego są 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podemontowane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niektóre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przęsł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a, a niektóre są 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odsunięte i ludzie sobie spacerują z wózkami, tak jakby to było czynne. Pan Dyrektor odpowiedział, że jest to sprawa kierownika budowy. 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Zapytał, j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aki wpływ ma radny na kiero</w:t>
      </w:r>
      <w:r w:rsid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wnika budowy? Prosił Dyrektora </w:t>
      </w:r>
      <w:r w:rsidR="0062763C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wyjaśnienie.</w:t>
      </w:r>
    </w:p>
    <w:p w:rsidR="00635F78" w:rsidRPr="00545456" w:rsidRDefault="00635F78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73B4F" w:rsidRPr="00545456" w:rsidRDefault="0062763C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Józef Dziubecki Dyrekto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 Biura Inwestycji i Remontów powiedział, że s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ytuacja jest znana. Wszyscy wiedzą, że budowa trwa i obowiązuje zakaz wstępu. Firma doprowadza cały czas do skutecznego odgrodzenia placu budowy, natomiast pracownicy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pracują od 7.00-15.00,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tym poza czasem każdy wchodząc na teren budowy wchodzi na własną odpowiedzialność. </w:t>
      </w:r>
      <w:r w:rsidR="00273B4F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Możemy doprowadzić do sytuacji, w której od poniedziałku będziemy po 15.00 wzywać Straż Miejską do każdego pojawiającego się tam mieszkańca miasta.</w:t>
      </w:r>
    </w:p>
    <w:p w:rsidR="00273B4F" w:rsidRPr="00545456" w:rsidRDefault="00273B4F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73B4F" w:rsidRPr="00545456" w:rsidRDefault="00273B4F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Rafał Czajka nawiązał do tematu Parku Belzackiego. W związku z tym, że proces inwestycyjny tak bardzo odbiega w czasie, to czy nie jest tak, że jesteśmy zagrożeni tym, że tą dotację którą pozyskaliśmy na Rewitalizacje tego Parku Belzackiego, będziemy musieli oddać? Czy wykonawca</w:t>
      </w:r>
      <w:r w:rsidR="00060AD5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który przekłada oddanie parku do użytku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ponosi z tego tytułu jakieś konsekwencje? </w:t>
      </w:r>
    </w:p>
    <w:p w:rsidR="00273B4F" w:rsidRPr="00545456" w:rsidRDefault="00273B4F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96F3A" w:rsidRPr="00545456" w:rsidRDefault="00060AD5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Józef Dziubecki Dyrekt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 Biura Inwestycji i Remontów powiedział, że s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prawa Parku Belzackiego jest skomplikowana. Park jest pod Nadzorem Konserwatora Zabytków. Każda decyzja związana z koniecznością wprowadzenia jakiejkolwiek zmiany lub jakiegokolwiek uszczegółowienia wymaga zgody Konserwatora Zabytków. My na każdą decyzję konserwatora składamy wnioski i czekamy około 3 miesięcy do 4 miesięcy na decyzję konserwatora. Czasami jest tak, że 2 miesiące czekamy na wizytę przedstawiciela konserwatora po to, żeby ocenił czego dotyczy wniosek, który chcemy konserwatorowi przedłożyć</w:t>
      </w:r>
      <w:r w:rsidRPr="0054545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.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My przygotowujemy po 12 egzemplarzy dokumentacji, ponieważ każdy z pracowników otrzymuje własną dokumentację. Nie składa się dokumentacji jednej do konserwatora tylko składana jest w tylu egzemplarzach po to, żeby każdy pracownik który rozpatruje konkretną kwestię </w:t>
      </w:r>
      <w:r w:rsidR="00A96F3A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miał dokumentację własną do wglądu. My jesteśmy obciążeni z tego tytułu dodatkowymi kosztami. Zdarza się tak, że konserwator mając termin 30 dniowy, czy 65 dniowy na rozpatrzenie sprawy, przesyła na 4, 5 dni przed końcem terminu postanowienie o wydłużenie terminu na zajęcie stanowiska. To jest instytucja, która mając pod opieką obiekty zabytkowe 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żaden sposób nie interesuje się, ani technologią wykonywania tych prac, ani sposobem ich 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finasowania</w:t>
      </w:r>
      <w:r w:rsidR="00CB36D1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 już w żaden sposób za finansowanie i realizację tych przedsięwzięć nie bierze odpowiedzialności. Dlatego oprócz tych 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kwestii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które były związane z wiatrołomami, z warunkami technicznymi</w:t>
      </w:r>
      <w:r w:rsidR="00CB36D1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koniecznością 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wprowadzenia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dodatkowych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zmian wykonawca według nas postępuje zgodnie i nie jest odpowiedzialny w żaden sposób co do konieczności przedłużenia terminu. Jeśli chodzi o kwestionowane jakości wykonania poszczególnych elementów, cały czas trwała budowa. Spotykamy się co 2 tygodnie i jest sporządzony protokół, jest wgląd do protokołu. Na każdy</w:t>
      </w:r>
      <w:r w:rsidR="00CB36D1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 spotkaniu mówimy, oceniamy 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jakość. Otrzymałem informację, że wykonawca przystępuje do uzdatnienia tych elementów drewnianych w sposób uzgodniony ze stolarzem. Nadmieniam, że 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już raz wykonawca wymieniał wszystkie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elementy </w:t>
      </w:r>
      <w:r w:rsidR="0041293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drewniane z uwagi na to, że poprzednie również przez nas zostały zakwestionowane. </w:t>
      </w:r>
    </w:p>
    <w:p w:rsidR="00FB1329" w:rsidRPr="00545456" w:rsidRDefault="00FB1329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96F3A" w:rsidRPr="00545456" w:rsidRDefault="00336C09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Rafał Czajka: Dotacja</w:t>
      </w:r>
      <w:r w:rsidR="00FB132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którą dostaliśmy jest zagrożona? Czy jest takie prawdopodobieństwo, że będziemy musieli ją oddać? Kiedy jest przewidywany termin jej oddania?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to jest wina konserwatora, że tak długo opiniuje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?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FB1329" w:rsidRPr="00545456" w:rsidRDefault="00FB1329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96F3A" w:rsidRPr="00545456" w:rsidRDefault="00FB1329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Andrzej</w:t>
      </w:r>
      <w:r w:rsidR="00630447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Kacperek Wiceprezydent Miasta powiedział, że </w:t>
      </w:r>
      <w:r w:rsidR="00336C0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Konserwator zabytków 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organem 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acji publicznej i 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obowiązuje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go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procedura</w:t>
      </w:r>
      <w:r w:rsidR="00C618E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administracyjna, a więc Kodeks Postępowania A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dministracyjnego.</w:t>
      </w:r>
      <w:r w:rsidR="00CB36D1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Kodeks jasno mówi, że uzgodnion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opinie powi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nno się wydać w terminie 14 dni.  Tak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więc to że procedura uzgadniania, 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czyli opiniowania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to nie jest opinia która przesądza o istocie sprawy, czy kodeks</w:t>
      </w:r>
      <w:r w:rsidR="000F27F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który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mówi niezwłocznie, </w:t>
      </w:r>
      <w:r w:rsidR="00AA298F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 dłużej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niż w ciągu miesiąca, a w sprawach szczególnie skomplikowanych w ciągu 2 miesięcy tj. tylko wydanie opinii, a opinie wydaje się zgodnie z KPA w formie postanowienia i termin jest 14 dniowy. Oczywiście służby</w:t>
      </w:r>
      <w:r w:rsidR="00C618E9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0076D4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ponaglenie i być może z tej instytucji należałoby korzystać. Myślę że pan Dyrektor nie dopowiedział, ale nikt nie jest zadowolony jeżeli używa się prawnych środków w postaci ponaglenia w stosunku do zwłoki, a szczególnie jeżeli jest to organ, który w samej nazwie jest konserwatywny. </w:t>
      </w:r>
    </w:p>
    <w:p w:rsidR="000076D4" w:rsidRPr="00545456" w:rsidRDefault="000076D4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B1329" w:rsidRPr="00545456" w:rsidRDefault="000076D4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Adam </w:t>
      </w:r>
      <w:r w:rsidR="00987C8A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Karzewnik Wiceprezydent Miasta powiedział, że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10687D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10687D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yst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 prace są prowadzone w oparciu o sporządzony wcześ</w:t>
      </w:r>
      <w:r w:rsidR="0010687D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niej projekt, który nie wszystko przewidział. Bo w trakcie realizacji nastąpiły różnego rodzaju zdarzenia, które ten projekt nawet nie mógł przewidzieć. Jest część takich rzeczy, które niestety </w:t>
      </w:r>
      <w:r w:rsidR="00AA298F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projekcie nie były dobrze rozpracowane. Jeśli chodzi o terminy to w środę jesteśmy w tej sprawie umówieni w Wojewódzkim Funduszu Ochrony Środowiska, żeby na ten temat porozmawiać</w:t>
      </w:r>
      <w:r w:rsidR="00987C8A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O</w:t>
      </w:r>
      <w:r w:rsidR="00AA298F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prócz tych problemów bardzo dużych związanych z konserwatorem zabytków jest również sprawa dostępności materiałów. </w:t>
      </w:r>
      <w:r w:rsidR="001E3815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chodzi o dotację to jeżeli jakieś elementy nie zostaną wykonane to będzie ta dotacja pomniejszona proporcjonalnie o brak tych elementów. Nie sądzę, żeby doszło do zabrania w całości tej dotacji, bo duża jednak część tego zadania została wykonana. </w:t>
      </w:r>
    </w:p>
    <w:p w:rsidR="00FB1329" w:rsidRPr="00545456" w:rsidRDefault="00FB1329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E3815" w:rsidRPr="00545456" w:rsidRDefault="001E3815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Jan Dziemdziora poinformował, że w sprawie Parku Belzackiego interpelację kilka tygodni temu składała radna Marlena Wężyk-Głowacka. Interpelację jak i odpowiedź można znaleźć na stronie miasta w rejestrze pytań, wniosków i interpelacji. </w:t>
      </w:r>
    </w:p>
    <w:p w:rsidR="001E3815" w:rsidRPr="00545456" w:rsidRDefault="001E3815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E3815" w:rsidRPr="00545456" w:rsidRDefault="00EB3E5D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Rafał Czajka zaproponował, żeby lodowisko z Parku Księcia Poniatowskiego przenieść na jeden sezon do Parku Belzackiego. </w:t>
      </w:r>
    </w:p>
    <w:p w:rsidR="00EB3E5D" w:rsidRPr="00545456" w:rsidRDefault="00EB3E5D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F27F9" w:rsidRPr="00545456" w:rsidRDefault="00EB3E5D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Ludomir Pencina zapytał, jak wygląda sprawa dokończenia budowy II Liceum? Czy już był przetarg? Był wyznaczony, czy nikt się nie zgłosił? Co z funduszami, które zostały już wydane? Czy jest nadpłacona część na to, czy wykonawca uciekł z placu budowy bez rozliczenia? </w:t>
      </w:r>
    </w:p>
    <w:p w:rsidR="00EB3E5D" w:rsidRPr="00545456" w:rsidRDefault="00ED585D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Pan Józef Dziubecki Dyrek</w:t>
      </w:r>
      <w:r w:rsidR="00987C8A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tor Biura Inwestycji i Remontów odpowiedział, że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przetarg na dokończenie prac w II Liceum został ogłoszony. Czekamy na oferty. Biorąc pod uwagę liczbę ofert, które wpłynęły dla realizacji inwestycji przy Szkole Podstawowej Nr 12, gdzie było 7 ofert liczymy również na to, że pojawią się oferty w tym względzie w takiej wielkości. Jeśli chodzi o rozliczenie z dotychczasowym wykonawcą</w:t>
      </w:r>
      <w:r w:rsidR="00987C8A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podpisany został protokół odbioru zakresu, który został wykonany. Zakres został odebrany, wykonawca za wykonaną pracę został rozliczony, natomiast sprawa została skierowana do rozliczenia dalszego, czyli wykonawca został obciążony kwotą księgową w wysokości 20 % wartości umowy za zerwanie umowy i kwota księgowa obowiązuje. Jednocześnie, wykonawca wystąpił do miasta z roszczeniem na kwotę podobną jaka obciąża go notą księgową z tytułu według niego należnych 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mu 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tytułu wykonanych prac</w:t>
      </w:r>
      <w:r w:rsidR="00235148"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środków. Sprawa przez nas została odrzucona w związku z tym, należy się spodziewać, że o tą kwotę wykonawca wystąpi w stosunku do miasta z roszczeniem do sądu.</w:t>
      </w:r>
    </w:p>
    <w:p w:rsidR="001D0920" w:rsidRDefault="001D0920" w:rsidP="00545456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248C6" w:rsidRDefault="007B7EB4" w:rsidP="001D0920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tym protokół zakończono.</w:t>
      </w:r>
    </w:p>
    <w:p w:rsidR="001D0920" w:rsidRPr="00545456" w:rsidRDefault="001D0920" w:rsidP="001D0920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545456" w:rsidRDefault="003814B2" w:rsidP="001D0920">
      <w:pPr>
        <w:spacing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Przewodnicząca </w:t>
      </w:r>
      <w:r w:rsidR="007B7EB4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Komisj</w:t>
      </w:r>
      <w:r w:rsidR="001D0920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i Administracji Bezpieczeństwa Publicznego </w:t>
      </w:r>
      <w:r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7B7EB4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Inwentaryzacji Mienia Komunalnego</w:t>
      </w:r>
      <w:r w:rsidR="001D0920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(-)</w:t>
      </w:r>
      <w:r w:rsidR="007B7EB4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Monika Tera</w:t>
      </w:r>
    </w:p>
    <w:p w:rsidR="009573AB" w:rsidRPr="001D0920" w:rsidRDefault="001D0920" w:rsidP="001D0920">
      <w:pPr>
        <w:spacing w:after="200"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Przewodnicząca </w:t>
      </w:r>
      <w:r w:rsidR="00635F78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Komisji Rewizyjnej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(-) </w:t>
      </w:r>
      <w:r w:rsidR="00635F78" w:rsidRPr="00545456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Urszula Czubała</w:t>
      </w:r>
    </w:p>
    <w:sectPr w:rsidR="009573AB" w:rsidRPr="001D0920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34" w:rsidRDefault="00412934">
      <w:pPr>
        <w:spacing w:after="0" w:line="240" w:lineRule="auto"/>
      </w:pPr>
      <w:r>
        <w:separator/>
      </w:r>
    </w:p>
  </w:endnote>
  <w:endnote w:type="continuationSeparator" w:id="0">
    <w:p w:rsidR="00412934" w:rsidRDefault="004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459953"/>
      <w:docPartObj>
        <w:docPartGallery w:val="Page Numbers (Bottom of Page)"/>
        <w:docPartUnique/>
      </w:docPartObj>
    </w:sdtPr>
    <w:sdtEndPr/>
    <w:sdtContent>
      <w:p w:rsidR="00412934" w:rsidRDefault="0041293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97E27">
          <w:rPr>
            <w:noProof/>
          </w:rPr>
          <w:t>1</w:t>
        </w:r>
        <w:r>
          <w:fldChar w:fldCharType="end"/>
        </w:r>
      </w:p>
    </w:sdtContent>
  </w:sdt>
  <w:p w:rsidR="00412934" w:rsidRDefault="0041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34" w:rsidRDefault="00412934">
      <w:pPr>
        <w:spacing w:after="0" w:line="240" w:lineRule="auto"/>
      </w:pPr>
      <w:r>
        <w:separator/>
      </w:r>
    </w:p>
  </w:footnote>
  <w:footnote w:type="continuationSeparator" w:id="0">
    <w:p w:rsidR="00412934" w:rsidRDefault="00412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7E7"/>
    <w:multiLevelType w:val="hybridMultilevel"/>
    <w:tmpl w:val="E23CCF3C"/>
    <w:lvl w:ilvl="0" w:tplc="04989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1B"/>
    <w:multiLevelType w:val="hybridMultilevel"/>
    <w:tmpl w:val="6868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8F6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834571"/>
    <w:multiLevelType w:val="hybridMultilevel"/>
    <w:tmpl w:val="3286B806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B1170B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D5E49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520F6E"/>
    <w:multiLevelType w:val="multilevel"/>
    <w:tmpl w:val="506CB3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D72CBB"/>
    <w:multiLevelType w:val="hybridMultilevel"/>
    <w:tmpl w:val="B93CBADE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D72DF5"/>
    <w:multiLevelType w:val="multilevel"/>
    <w:tmpl w:val="B4F48F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A0E38"/>
    <w:multiLevelType w:val="hybridMultilevel"/>
    <w:tmpl w:val="0CD82D88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02341F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11602B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2125BA"/>
    <w:multiLevelType w:val="hybridMultilevel"/>
    <w:tmpl w:val="6C78CC04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022817"/>
    <w:multiLevelType w:val="hybridMultilevel"/>
    <w:tmpl w:val="49E413B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711694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B1575E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AF7107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7C25E4"/>
    <w:multiLevelType w:val="hybridMultilevel"/>
    <w:tmpl w:val="5B9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428"/>
    <w:multiLevelType w:val="hybridMultilevel"/>
    <w:tmpl w:val="B9CE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65C5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FA7A0B"/>
    <w:multiLevelType w:val="hybridMultilevel"/>
    <w:tmpl w:val="E736B75C"/>
    <w:lvl w:ilvl="0" w:tplc="C804C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073B1"/>
    <w:multiLevelType w:val="hybridMultilevel"/>
    <w:tmpl w:val="FC5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6752"/>
    <w:multiLevelType w:val="hybridMultilevel"/>
    <w:tmpl w:val="0B40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26078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4969BB"/>
    <w:multiLevelType w:val="hybridMultilevel"/>
    <w:tmpl w:val="DAE66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4002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63EB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E161D20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196E47"/>
    <w:multiLevelType w:val="hybridMultilevel"/>
    <w:tmpl w:val="8214A876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605051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7C240F"/>
    <w:multiLevelType w:val="hybridMultilevel"/>
    <w:tmpl w:val="9F76E36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17"/>
  </w:num>
  <w:num w:numId="5">
    <w:abstractNumId w:val="0"/>
  </w:num>
  <w:num w:numId="6">
    <w:abstractNumId w:val="20"/>
  </w:num>
  <w:num w:numId="7">
    <w:abstractNumId w:val="1"/>
  </w:num>
  <w:num w:numId="8">
    <w:abstractNumId w:val="26"/>
  </w:num>
  <w:num w:numId="9">
    <w:abstractNumId w:val="22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8"/>
  </w:num>
  <w:num w:numId="15">
    <w:abstractNumId w:val="2"/>
  </w:num>
  <w:num w:numId="16">
    <w:abstractNumId w:val="14"/>
  </w:num>
  <w:num w:numId="17">
    <w:abstractNumId w:val="25"/>
  </w:num>
  <w:num w:numId="18">
    <w:abstractNumId w:val="31"/>
  </w:num>
  <w:num w:numId="19">
    <w:abstractNumId w:val="30"/>
  </w:num>
  <w:num w:numId="20">
    <w:abstractNumId w:val="5"/>
  </w:num>
  <w:num w:numId="21">
    <w:abstractNumId w:val="27"/>
  </w:num>
  <w:num w:numId="22">
    <w:abstractNumId w:val="15"/>
  </w:num>
  <w:num w:numId="23">
    <w:abstractNumId w:val="23"/>
  </w:num>
  <w:num w:numId="24">
    <w:abstractNumId w:val="10"/>
  </w:num>
  <w:num w:numId="25">
    <w:abstractNumId w:val="19"/>
  </w:num>
  <w:num w:numId="26">
    <w:abstractNumId w:val="24"/>
  </w:num>
  <w:num w:numId="27">
    <w:abstractNumId w:val="6"/>
  </w:num>
  <w:num w:numId="28">
    <w:abstractNumId w:val="11"/>
  </w:num>
  <w:num w:numId="29">
    <w:abstractNumId w:val="3"/>
  </w:num>
  <w:num w:numId="30">
    <w:abstractNumId w:val="12"/>
  </w:num>
  <w:num w:numId="31">
    <w:abstractNumId w:val="9"/>
  </w:num>
  <w:num w:numId="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B04A1E9-91EE-47F7-A68F-9A470054ED82}"/>
  </w:docVars>
  <w:rsids>
    <w:rsidRoot w:val="009573AB"/>
    <w:rsid w:val="000076D4"/>
    <w:rsid w:val="00007888"/>
    <w:rsid w:val="00036E89"/>
    <w:rsid w:val="00057FF6"/>
    <w:rsid w:val="00060AD5"/>
    <w:rsid w:val="00073B9A"/>
    <w:rsid w:val="000B427E"/>
    <w:rsid w:val="000C1D02"/>
    <w:rsid w:val="000E57C5"/>
    <w:rsid w:val="000F0C3F"/>
    <w:rsid w:val="000F27F9"/>
    <w:rsid w:val="000F562B"/>
    <w:rsid w:val="00103162"/>
    <w:rsid w:val="0010687D"/>
    <w:rsid w:val="001D0920"/>
    <w:rsid w:val="001D1038"/>
    <w:rsid w:val="001E3815"/>
    <w:rsid w:val="0021481E"/>
    <w:rsid w:val="0022100B"/>
    <w:rsid w:val="00223528"/>
    <w:rsid w:val="00235148"/>
    <w:rsid w:val="00273B4F"/>
    <w:rsid w:val="002C1006"/>
    <w:rsid w:val="002D395E"/>
    <w:rsid w:val="002D4C36"/>
    <w:rsid w:val="002E0F43"/>
    <w:rsid w:val="002F665E"/>
    <w:rsid w:val="00307FDE"/>
    <w:rsid w:val="00317ABA"/>
    <w:rsid w:val="00336C09"/>
    <w:rsid w:val="003563E8"/>
    <w:rsid w:val="00376A60"/>
    <w:rsid w:val="003814B2"/>
    <w:rsid w:val="003817C5"/>
    <w:rsid w:val="00386B9E"/>
    <w:rsid w:val="003A6AB9"/>
    <w:rsid w:val="003E1432"/>
    <w:rsid w:val="003F76C1"/>
    <w:rsid w:val="00412934"/>
    <w:rsid w:val="00415866"/>
    <w:rsid w:val="004248C6"/>
    <w:rsid w:val="004602DB"/>
    <w:rsid w:val="00463C8E"/>
    <w:rsid w:val="0048070E"/>
    <w:rsid w:val="004B08B7"/>
    <w:rsid w:val="004B7532"/>
    <w:rsid w:val="004C6D95"/>
    <w:rsid w:val="004F10B1"/>
    <w:rsid w:val="00510C93"/>
    <w:rsid w:val="0052504C"/>
    <w:rsid w:val="00545456"/>
    <w:rsid w:val="00577EAD"/>
    <w:rsid w:val="005A00B8"/>
    <w:rsid w:val="005B000F"/>
    <w:rsid w:val="005B7F3B"/>
    <w:rsid w:val="005C4110"/>
    <w:rsid w:val="005D6946"/>
    <w:rsid w:val="005E1233"/>
    <w:rsid w:val="005F2B0D"/>
    <w:rsid w:val="00600EC5"/>
    <w:rsid w:val="00620F3C"/>
    <w:rsid w:val="0062763C"/>
    <w:rsid w:val="00627B24"/>
    <w:rsid w:val="00630447"/>
    <w:rsid w:val="00635F78"/>
    <w:rsid w:val="00663504"/>
    <w:rsid w:val="006916C7"/>
    <w:rsid w:val="00697E27"/>
    <w:rsid w:val="006C530B"/>
    <w:rsid w:val="006C5FE4"/>
    <w:rsid w:val="006C6C9C"/>
    <w:rsid w:val="006D1C56"/>
    <w:rsid w:val="006F1ACF"/>
    <w:rsid w:val="00710AE6"/>
    <w:rsid w:val="00711514"/>
    <w:rsid w:val="007141A0"/>
    <w:rsid w:val="00763F0E"/>
    <w:rsid w:val="00772F2D"/>
    <w:rsid w:val="007B7EB4"/>
    <w:rsid w:val="0082382C"/>
    <w:rsid w:val="00855DED"/>
    <w:rsid w:val="008649C6"/>
    <w:rsid w:val="00880F8C"/>
    <w:rsid w:val="008A739B"/>
    <w:rsid w:val="008B7B91"/>
    <w:rsid w:val="008C366B"/>
    <w:rsid w:val="008E3691"/>
    <w:rsid w:val="008F38A6"/>
    <w:rsid w:val="00911FB4"/>
    <w:rsid w:val="009573AB"/>
    <w:rsid w:val="00964DA2"/>
    <w:rsid w:val="009824A3"/>
    <w:rsid w:val="009866F1"/>
    <w:rsid w:val="00986AD4"/>
    <w:rsid w:val="00987C8A"/>
    <w:rsid w:val="009B7847"/>
    <w:rsid w:val="009D29DE"/>
    <w:rsid w:val="009D4477"/>
    <w:rsid w:val="009D69FB"/>
    <w:rsid w:val="009E049C"/>
    <w:rsid w:val="00A474DB"/>
    <w:rsid w:val="00A5294D"/>
    <w:rsid w:val="00A739AA"/>
    <w:rsid w:val="00A94DEE"/>
    <w:rsid w:val="00A96F3A"/>
    <w:rsid w:val="00AA298F"/>
    <w:rsid w:val="00AB36AF"/>
    <w:rsid w:val="00AC3C04"/>
    <w:rsid w:val="00AD7A1C"/>
    <w:rsid w:val="00AF2D47"/>
    <w:rsid w:val="00AF5488"/>
    <w:rsid w:val="00B06598"/>
    <w:rsid w:val="00B172DB"/>
    <w:rsid w:val="00B64E37"/>
    <w:rsid w:val="00B8138E"/>
    <w:rsid w:val="00BA06EF"/>
    <w:rsid w:val="00BE6854"/>
    <w:rsid w:val="00C20157"/>
    <w:rsid w:val="00C2294E"/>
    <w:rsid w:val="00C4465D"/>
    <w:rsid w:val="00C618E9"/>
    <w:rsid w:val="00C76867"/>
    <w:rsid w:val="00CB36D1"/>
    <w:rsid w:val="00CC5AC7"/>
    <w:rsid w:val="00D0044F"/>
    <w:rsid w:val="00D1448A"/>
    <w:rsid w:val="00D22DD9"/>
    <w:rsid w:val="00D4024B"/>
    <w:rsid w:val="00D542DD"/>
    <w:rsid w:val="00D57021"/>
    <w:rsid w:val="00D80895"/>
    <w:rsid w:val="00DC7739"/>
    <w:rsid w:val="00DD31E4"/>
    <w:rsid w:val="00DD423E"/>
    <w:rsid w:val="00DF0916"/>
    <w:rsid w:val="00E0453C"/>
    <w:rsid w:val="00E102B8"/>
    <w:rsid w:val="00E16EAA"/>
    <w:rsid w:val="00E23B1F"/>
    <w:rsid w:val="00E2670D"/>
    <w:rsid w:val="00E33471"/>
    <w:rsid w:val="00E5328F"/>
    <w:rsid w:val="00E96F92"/>
    <w:rsid w:val="00EB3DCF"/>
    <w:rsid w:val="00EB3E5D"/>
    <w:rsid w:val="00ED585D"/>
    <w:rsid w:val="00EE0573"/>
    <w:rsid w:val="00EE077D"/>
    <w:rsid w:val="00EF658A"/>
    <w:rsid w:val="00F01D10"/>
    <w:rsid w:val="00F02A5C"/>
    <w:rsid w:val="00F26AE2"/>
    <w:rsid w:val="00F3271E"/>
    <w:rsid w:val="00F45CF8"/>
    <w:rsid w:val="00F6131E"/>
    <w:rsid w:val="00F653DB"/>
    <w:rsid w:val="00F66A75"/>
    <w:rsid w:val="00F74157"/>
    <w:rsid w:val="00F86245"/>
    <w:rsid w:val="00FA2536"/>
    <w:rsid w:val="00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C3E8-0644-432E-BA67-200E65B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CD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0C8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0C8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0A60"/>
  </w:style>
  <w:style w:type="character" w:customStyle="1" w:styleId="StopkaZnak">
    <w:name w:val="Stopka Znak"/>
    <w:basedOn w:val="Domylnaczcionkaakapitu"/>
    <w:link w:val="Stopka"/>
    <w:uiPriority w:val="99"/>
    <w:qFormat/>
    <w:rsid w:val="009D0A60"/>
  </w:style>
  <w:style w:type="character" w:styleId="Pogrubienie">
    <w:name w:val="Strong"/>
    <w:basedOn w:val="Domylnaczcionkaakapitu"/>
    <w:uiPriority w:val="22"/>
    <w:qFormat/>
    <w:rsid w:val="00CB43C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40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55DC"/>
    <w:pPr>
      <w:ind w:left="720"/>
      <w:contextualSpacing/>
    </w:pPr>
  </w:style>
  <w:style w:type="paragraph" w:customStyle="1" w:styleId="Default">
    <w:name w:val="Default"/>
    <w:qFormat/>
    <w:rsid w:val="007249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C8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3F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48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0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A1E9-91EE-47F7-A68F-9A470054ED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553C66-C87F-4036-A6EF-B9B2C1C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10912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Budkowska Paulina</cp:lastModifiedBy>
  <cp:revision>2</cp:revision>
  <cp:lastPrinted>2022-08-25T09:58:00Z</cp:lastPrinted>
  <dcterms:created xsi:type="dcterms:W3CDTF">2022-10-28T08:19:00Z</dcterms:created>
  <dcterms:modified xsi:type="dcterms:W3CDTF">2022-10-28T08:19:00Z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