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0CE3" w14:textId="47ED4023" w:rsidR="00E957B2" w:rsidRPr="00BC786B" w:rsidRDefault="008E17D9" w:rsidP="00BC7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bCs/>
          <w:sz w:val="24"/>
          <w:szCs w:val="24"/>
        </w:rPr>
        <w:t>O</w:t>
      </w:r>
      <w:r w:rsidR="000E6BA2">
        <w:rPr>
          <w:rFonts w:ascii="Arial" w:hAnsi="Arial" w:cs="Arial"/>
          <w:bCs/>
          <w:sz w:val="24"/>
          <w:szCs w:val="24"/>
        </w:rPr>
        <w:t xml:space="preserve">głoszenie o </w:t>
      </w:r>
      <w:r w:rsidR="00885D2F">
        <w:rPr>
          <w:rFonts w:ascii="Arial" w:hAnsi="Arial" w:cs="Arial"/>
          <w:bCs/>
          <w:sz w:val="24"/>
          <w:szCs w:val="24"/>
        </w:rPr>
        <w:t>III</w:t>
      </w:r>
      <w:r w:rsidR="000E6BA2">
        <w:rPr>
          <w:rFonts w:ascii="Arial" w:hAnsi="Arial" w:cs="Arial"/>
          <w:bCs/>
          <w:sz w:val="24"/>
          <w:szCs w:val="24"/>
        </w:rPr>
        <w:t xml:space="preserve"> ustnym przetargu nieograniczonym  na sprzedaż nieruchomości niezabudowanej stanowiącej własność gminy Miasto Piotrków Trybunalski</w:t>
      </w:r>
      <w:r w:rsidRPr="00BC786B">
        <w:rPr>
          <w:rFonts w:ascii="Arial" w:hAnsi="Arial" w:cs="Arial"/>
          <w:bCs/>
          <w:sz w:val="24"/>
          <w:szCs w:val="24"/>
        </w:rPr>
        <w:t xml:space="preserve">, </w:t>
      </w:r>
      <w:r w:rsidR="000E6BA2">
        <w:rPr>
          <w:rFonts w:ascii="Arial" w:hAnsi="Arial" w:cs="Arial"/>
          <w:bCs/>
          <w:sz w:val="24"/>
          <w:szCs w:val="24"/>
        </w:rPr>
        <w:t>położonej w Piotrkowie Trybunalskim przy ul. Metalowców – kompleks numer II</w:t>
      </w:r>
      <w:r w:rsidR="0018483F" w:rsidRPr="00BC786B">
        <w:rPr>
          <w:rFonts w:ascii="Arial" w:hAnsi="Arial" w:cs="Arial"/>
          <w:sz w:val="24"/>
          <w:szCs w:val="24"/>
        </w:rPr>
        <w:t>.</w:t>
      </w:r>
    </w:p>
    <w:p w14:paraId="122B2E8B" w14:textId="77777777" w:rsidR="00410D11" w:rsidRPr="00BC786B" w:rsidRDefault="00410D11" w:rsidP="00BC786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DA54850" w14:textId="77777777" w:rsidR="00A646C3" w:rsidRPr="00BC786B" w:rsidRDefault="000E6BA2" w:rsidP="000E6B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646C3" w:rsidRPr="00BC786B">
        <w:rPr>
          <w:rFonts w:ascii="Arial" w:hAnsi="Arial" w:cs="Arial"/>
          <w:sz w:val="24"/>
          <w:szCs w:val="24"/>
        </w:rPr>
        <w:t>Nieruchomość stanowiąca kompleks numer II położona jest w Piotrkowie Trybunalskim przy ul. Metalowców.</w:t>
      </w:r>
    </w:p>
    <w:p w14:paraId="68D3F948" w14:textId="77777777" w:rsidR="00A646C3" w:rsidRPr="00BC786B" w:rsidRDefault="00A646C3" w:rsidP="000E6BA2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 xml:space="preserve">Stan prawny nieruchomości uregulowany jest w prowadzonych w Sądzie Rejonowym w Piotrkowie Trybunalskim –VI Wydziale Ksiąg Wieczystych księgach wieczystych: PT1P/00099779/7 (dla działek numer: </w:t>
      </w:r>
      <w:r w:rsidRPr="00BC786B">
        <w:rPr>
          <w:rFonts w:ascii="Arial" w:hAnsi="Arial" w:cs="Arial"/>
          <w:bCs/>
          <w:sz w:val="24"/>
          <w:szCs w:val="24"/>
        </w:rPr>
        <w:t>27/4, 26/3, 127/4 i 128/2</w:t>
      </w:r>
      <w:r w:rsidRPr="00BC786B">
        <w:rPr>
          <w:rFonts w:ascii="Arial" w:hAnsi="Arial" w:cs="Arial"/>
          <w:sz w:val="24"/>
          <w:szCs w:val="24"/>
        </w:rPr>
        <w:t xml:space="preserve">) i PT1P/00080450/9 (dla działki numer </w:t>
      </w:r>
      <w:r w:rsidRPr="00BC786B">
        <w:rPr>
          <w:rFonts w:ascii="Arial" w:hAnsi="Arial" w:cs="Arial"/>
          <w:bCs/>
          <w:sz w:val="24"/>
          <w:szCs w:val="24"/>
        </w:rPr>
        <w:t>28/5).</w:t>
      </w:r>
    </w:p>
    <w:p w14:paraId="270F1F4B" w14:textId="77777777" w:rsidR="00A646C3" w:rsidRPr="00BC786B" w:rsidRDefault="00A646C3" w:rsidP="000E6BA2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Powyższa nieruchomość nie jest obciążona prawami, ani zobowiązaniami na rzecz osób trzecich.</w:t>
      </w:r>
    </w:p>
    <w:p w14:paraId="0A303573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 xml:space="preserve">2. Nieruchomość oznaczona jest w ewidencji gruntów obręb 41 </w:t>
      </w:r>
      <w:r w:rsidRPr="00BC786B">
        <w:rPr>
          <w:rFonts w:ascii="Arial" w:hAnsi="Arial" w:cs="Arial"/>
          <w:bCs/>
          <w:sz w:val="24"/>
          <w:szCs w:val="24"/>
        </w:rPr>
        <w:t>numerami działek: 27/4, 28/5, 26/3, 127/4 i 128/2 o łącznej powierzchni 2,1982 ha.</w:t>
      </w:r>
    </w:p>
    <w:p w14:paraId="767F2EE7" w14:textId="77777777" w:rsidR="00A646C3" w:rsidRPr="00BC786B" w:rsidRDefault="00A646C3" w:rsidP="00BC786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 xml:space="preserve">3. Wyżej wymienione działki są niezabudowane i niezagospodarowane, częściowo </w:t>
      </w:r>
      <w:r w:rsidRPr="00BC786B">
        <w:rPr>
          <w:rFonts w:ascii="Arial" w:hAnsi="Arial" w:cs="Arial"/>
          <w:color w:val="000000"/>
          <w:sz w:val="24"/>
          <w:szCs w:val="24"/>
        </w:rPr>
        <w:t>porośnięte są samosiewami drzew i krzewów,</w:t>
      </w:r>
      <w:r w:rsidRPr="00BC786B">
        <w:rPr>
          <w:rFonts w:ascii="Arial" w:hAnsi="Arial" w:cs="Arial"/>
          <w:sz w:val="24"/>
          <w:szCs w:val="24"/>
        </w:rPr>
        <w:t xml:space="preserve"> których ochronę oraz ewentualne usunięcie reguluje ustawa z dnia 16 kwietnia 2004 r. o ochronie przyrody</w:t>
      </w:r>
      <w:r w:rsidR="000E6BA2">
        <w:rPr>
          <w:rFonts w:ascii="Arial" w:hAnsi="Arial" w:cs="Arial"/>
          <w:sz w:val="24"/>
          <w:szCs w:val="24"/>
        </w:rPr>
        <w:t xml:space="preserve"> </w:t>
      </w:r>
      <w:r w:rsidRPr="00BC786B">
        <w:rPr>
          <w:rFonts w:ascii="Arial" w:hAnsi="Arial" w:cs="Arial"/>
          <w:sz w:val="24"/>
          <w:szCs w:val="24"/>
        </w:rPr>
        <w:t>(Dz.U. z 202</w:t>
      </w:r>
      <w:r w:rsidR="006859EA" w:rsidRPr="00BC786B">
        <w:rPr>
          <w:rFonts w:ascii="Arial" w:hAnsi="Arial" w:cs="Arial"/>
          <w:sz w:val="24"/>
          <w:szCs w:val="24"/>
        </w:rPr>
        <w:t>2</w:t>
      </w:r>
      <w:r w:rsidRPr="00BC786B">
        <w:rPr>
          <w:rFonts w:ascii="Arial" w:hAnsi="Arial" w:cs="Arial"/>
          <w:sz w:val="24"/>
          <w:szCs w:val="24"/>
        </w:rPr>
        <w:t xml:space="preserve"> r.,  poz. 9</w:t>
      </w:r>
      <w:r w:rsidR="006859EA" w:rsidRPr="00BC786B">
        <w:rPr>
          <w:rFonts w:ascii="Arial" w:hAnsi="Arial" w:cs="Arial"/>
          <w:sz w:val="24"/>
          <w:szCs w:val="24"/>
        </w:rPr>
        <w:t>16</w:t>
      </w:r>
      <w:r w:rsidR="003F39A8" w:rsidRPr="00BC786B">
        <w:rPr>
          <w:rFonts w:ascii="Arial" w:hAnsi="Arial" w:cs="Arial"/>
          <w:spacing w:val="-3"/>
          <w:sz w:val="24"/>
          <w:szCs w:val="24"/>
        </w:rPr>
        <w:t xml:space="preserve"> z późniejszymi zmianami</w:t>
      </w:r>
      <w:r w:rsidRPr="00BC786B">
        <w:rPr>
          <w:rFonts w:ascii="Arial" w:hAnsi="Arial" w:cs="Arial"/>
          <w:sz w:val="24"/>
          <w:szCs w:val="24"/>
        </w:rPr>
        <w:t>).</w:t>
      </w:r>
      <w:r w:rsidRPr="00BC786B">
        <w:rPr>
          <w:rFonts w:ascii="Arial" w:hAnsi="Arial" w:cs="Arial"/>
          <w:color w:val="003C77"/>
          <w:sz w:val="24"/>
          <w:szCs w:val="24"/>
        </w:rPr>
        <w:t xml:space="preserve"> </w:t>
      </w:r>
      <w:r w:rsidRPr="00BC786B">
        <w:rPr>
          <w:rFonts w:ascii="Arial" w:hAnsi="Arial" w:cs="Arial"/>
          <w:sz w:val="24"/>
          <w:szCs w:val="24"/>
        </w:rPr>
        <w:t>Koszty związane ze sporządzeniem wniosku i inwentaryzacji zieleni,</w:t>
      </w:r>
      <w:r w:rsidR="006859EA" w:rsidRPr="00BC786B">
        <w:rPr>
          <w:rFonts w:ascii="Arial" w:hAnsi="Arial" w:cs="Arial"/>
          <w:sz w:val="24"/>
          <w:szCs w:val="24"/>
        </w:rPr>
        <w:t xml:space="preserve"> </w:t>
      </w:r>
      <w:r w:rsidRPr="00BC786B">
        <w:rPr>
          <w:rFonts w:ascii="Arial" w:hAnsi="Arial" w:cs="Arial"/>
          <w:sz w:val="24"/>
          <w:szCs w:val="24"/>
        </w:rPr>
        <w:t xml:space="preserve">przeprowadzeniem zabiegów pielęgnacyjnych, usunięciem drzew i krzewów oraz ewentualnych opłat z tym związanych, wynikających </w:t>
      </w:r>
      <w:r w:rsidR="003F39A8" w:rsidRPr="00BC786B">
        <w:rPr>
          <w:rFonts w:ascii="Arial" w:hAnsi="Arial" w:cs="Arial"/>
          <w:sz w:val="24"/>
          <w:szCs w:val="24"/>
        </w:rPr>
        <w:t>z</w:t>
      </w:r>
      <w:r w:rsidRPr="00BC786B">
        <w:rPr>
          <w:rFonts w:ascii="Arial" w:hAnsi="Arial" w:cs="Arial"/>
          <w:sz w:val="24"/>
          <w:szCs w:val="24"/>
        </w:rPr>
        <w:t xml:space="preserve"> przepisów powołanej wyżej ustawy o ochronie przyrody i innych przepisów, ponosi posiadacz nieruchomości.</w:t>
      </w:r>
    </w:p>
    <w:p w14:paraId="0837419E" w14:textId="77777777" w:rsidR="00A646C3" w:rsidRPr="00BC786B" w:rsidRDefault="00A646C3" w:rsidP="000E6BA2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 xml:space="preserve">Zgodnie z zaleceniami Regionalnej Dyrekcji Ochrony Środowiska w Łodzi, biorąc pod uwagę istotną rolę jaką spełniają </w:t>
      </w:r>
      <w:r w:rsidR="000E6BA2">
        <w:rPr>
          <w:rFonts w:ascii="Arial" w:hAnsi="Arial" w:cs="Arial"/>
          <w:sz w:val="24"/>
          <w:szCs w:val="24"/>
        </w:rPr>
        <w:t>z</w:t>
      </w:r>
      <w:r w:rsidRPr="00BC786B">
        <w:rPr>
          <w:rFonts w:ascii="Arial" w:hAnsi="Arial" w:cs="Arial"/>
          <w:sz w:val="24"/>
          <w:szCs w:val="24"/>
        </w:rPr>
        <w:t xml:space="preserve">adrzewienia i zakrzaczenia, zaleca się ograniczenie działań związanych z wycinką drzew i krzewów tylko do uzasadnionych  </w:t>
      </w:r>
      <w:r w:rsidR="003F39A8" w:rsidRPr="00BC786B">
        <w:rPr>
          <w:rFonts w:ascii="Arial" w:hAnsi="Arial" w:cs="Arial"/>
          <w:sz w:val="24"/>
          <w:szCs w:val="24"/>
        </w:rPr>
        <w:t xml:space="preserve"> </w:t>
      </w:r>
      <w:r w:rsidRPr="00BC786B">
        <w:rPr>
          <w:rFonts w:ascii="Arial" w:hAnsi="Arial" w:cs="Arial"/>
          <w:sz w:val="24"/>
          <w:szCs w:val="24"/>
        </w:rPr>
        <w:t>przypadków.</w:t>
      </w:r>
    </w:p>
    <w:p w14:paraId="4ADCFAE0" w14:textId="77777777" w:rsidR="00A646C3" w:rsidRPr="00BC786B" w:rsidRDefault="00A646C3" w:rsidP="00BC786B">
      <w:pPr>
        <w:suppressAutoHyphens/>
        <w:spacing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BC786B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</w:t>
      </w:r>
      <w:r w:rsidR="006859EA" w:rsidRPr="00BC786B">
        <w:rPr>
          <w:rFonts w:ascii="Arial" w:hAnsi="Arial" w:cs="Arial"/>
          <w:spacing w:val="-3"/>
          <w:sz w:val="24"/>
          <w:szCs w:val="24"/>
        </w:rPr>
        <w:t>2</w:t>
      </w:r>
      <w:r w:rsidRPr="00BC786B">
        <w:rPr>
          <w:rFonts w:ascii="Arial" w:hAnsi="Arial" w:cs="Arial"/>
          <w:spacing w:val="-3"/>
          <w:sz w:val="24"/>
          <w:szCs w:val="24"/>
        </w:rPr>
        <w:t xml:space="preserve"> r., poz. </w:t>
      </w:r>
      <w:r w:rsidR="006859EA" w:rsidRPr="00BC786B">
        <w:rPr>
          <w:rFonts w:ascii="Arial" w:hAnsi="Arial" w:cs="Arial"/>
          <w:spacing w:val="-3"/>
          <w:sz w:val="24"/>
          <w:szCs w:val="24"/>
        </w:rPr>
        <w:t>69</w:t>
      </w:r>
      <w:r w:rsidRPr="00BC786B">
        <w:rPr>
          <w:rFonts w:ascii="Arial" w:hAnsi="Arial" w:cs="Arial"/>
          <w:spacing w:val="-3"/>
          <w:sz w:val="24"/>
          <w:szCs w:val="24"/>
        </w:rPr>
        <w:t>9 z późniejszymi zmianami).</w:t>
      </w:r>
    </w:p>
    <w:p w14:paraId="1A915139" w14:textId="77777777" w:rsidR="00A646C3" w:rsidRPr="00BC786B" w:rsidRDefault="00A646C3" w:rsidP="000E6BA2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</w:t>
      </w:r>
      <w:r w:rsidRPr="00BC786B">
        <w:rPr>
          <w:rFonts w:ascii="Arial" w:hAnsi="Arial" w:cs="Arial"/>
          <w:sz w:val="24"/>
          <w:szCs w:val="24"/>
        </w:rPr>
        <w:lastRenderedPageBreak/>
        <w:t>warunków technicznych, jakim powinny odpowiadać budynki i ich usytuowanie (Dz.U. z 20</w:t>
      </w:r>
      <w:r w:rsidR="00B37609" w:rsidRPr="00BC786B">
        <w:rPr>
          <w:rFonts w:ascii="Arial" w:hAnsi="Arial" w:cs="Arial"/>
          <w:sz w:val="24"/>
          <w:szCs w:val="24"/>
        </w:rPr>
        <w:t>22</w:t>
      </w:r>
      <w:r w:rsidRPr="00BC786B">
        <w:rPr>
          <w:rFonts w:ascii="Arial" w:hAnsi="Arial" w:cs="Arial"/>
          <w:sz w:val="24"/>
          <w:szCs w:val="24"/>
        </w:rPr>
        <w:t xml:space="preserve"> r., poz. </w:t>
      </w:r>
      <w:r w:rsidR="00B37609" w:rsidRPr="00BC786B">
        <w:rPr>
          <w:rFonts w:ascii="Arial" w:hAnsi="Arial" w:cs="Arial"/>
          <w:sz w:val="24"/>
          <w:szCs w:val="24"/>
        </w:rPr>
        <w:t>1225</w:t>
      </w:r>
      <w:r w:rsidRPr="00BC786B">
        <w:rPr>
          <w:rFonts w:ascii="Arial" w:hAnsi="Arial" w:cs="Arial"/>
          <w:sz w:val="24"/>
          <w:szCs w:val="24"/>
        </w:rPr>
        <w:t>).</w:t>
      </w:r>
    </w:p>
    <w:p w14:paraId="53E5B61F" w14:textId="77777777" w:rsidR="00A646C3" w:rsidRPr="00BC786B" w:rsidRDefault="00A646C3" w:rsidP="00422C86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2E88A8DE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14:paraId="4BC30BD0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W ulicy Metalowców przebiegają następujące sieci infrastruktury technicznej: energia elektryczna, wodociąg, kanalizacja sanitarna. Niezbędną infrastrukturę techniczną potrzebną do funkcjonowania zabudowy oraz ewentualną przebudowę istniejącego uzbrojenia nabywca nieruchomości wykona własnym staraniem, w porozumieniu z gestorami sieci.</w:t>
      </w:r>
    </w:p>
    <w:p w14:paraId="14A90920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Zasady obsługi komunikacyjnej dla kompleksu numer II obejmującego działki znajdujące się w jednostce urbanistycznej 3P – od ulicy oznaczonej symbolem 14KDL,15KDD i 16KDD szczegółowo wskazane zostały w obowiązującym dla przedmiotowego  terenu miejscowy plan zagospodarowania przestrzennego.</w:t>
      </w:r>
    </w:p>
    <w:p w14:paraId="33CFCCF1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2021 r., poz. 1376 z późniejszymi zmianami).</w:t>
      </w:r>
    </w:p>
    <w:p w14:paraId="45F61BDB" w14:textId="77777777" w:rsidR="00A646C3" w:rsidRPr="00BC786B" w:rsidRDefault="00A646C3" w:rsidP="00422C86">
      <w:pPr>
        <w:pStyle w:val="Zwykytekst"/>
        <w:tabs>
          <w:tab w:val="left" w:pos="360"/>
        </w:tabs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C786B">
        <w:rPr>
          <w:rFonts w:ascii="Arial" w:hAnsi="Arial" w:cs="Arial"/>
          <w:sz w:val="24"/>
          <w:szCs w:val="24"/>
        </w:rPr>
        <w:t xml:space="preserve">4. </w:t>
      </w:r>
      <w:r w:rsidRPr="00BC786B">
        <w:rPr>
          <w:rFonts w:ascii="Arial" w:eastAsia="Calibri" w:hAnsi="Arial" w:cs="Arial"/>
          <w:sz w:val="24"/>
          <w:szCs w:val="24"/>
          <w:lang w:eastAsia="en-US"/>
        </w:rPr>
        <w:t>Zgodnie z miejscowym planem zagospodarowania przestrzennego w Piotrkowie Trybunalskim, obejmującym obszar ulic</w:t>
      </w:r>
      <w:r w:rsidR="00422C86">
        <w:rPr>
          <w:rFonts w:ascii="Arial" w:eastAsia="Calibri" w:hAnsi="Arial" w:cs="Arial"/>
          <w:sz w:val="24"/>
          <w:szCs w:val="24"/>
          <w:lang w:eastAsia="en-US"/>
        </w:rPr>
        <w:t xml:space="preserve"> „</w:t>
      </w:r>
      <w:r w:rsidRPr="00BC786B">
        <w:rPr>
          <w:rFonts w:ascii="Arial" w:eastAsia="Calibri" w:hAnsi="Arial" w:cs="Arial"/>
          <w:sz w:val="24"/>
          <w:szCs w:val="24"/>
          <w:lang w:eastAsia="en-US"/>
        </w:rPr>
        <w:t>Wronia – Żelazna”, zatwierdzonym Uchwałą Nr XXIV/418/08 Rady Miasta Piotrkowa Trybunalskiego z dnia 25 czerwca 2008 r. (Dz.Urz. Woj. Łódzkiego z 2008 r. Nr 255, poz. 2297) i zmianą przyjętą Uchwałą Nr XXX/576/13 Rady Miasta</w:t>
      </w:r>
      <w:r w:rsidR="00422C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786B">
        <w:rPr>
          <w:rFonts w:ascii="Arial" w:eastAsia="Calibri" w:hAnsi="Arial" w:cs="Arial"/>
          <w:sz w:val="24"/>
          <w:szCs w:val="24"/>
          <w:lang w:eastAsia="en-US"/>
        </w:rPr>
        <w:t xml:space="preserve">Piotrkowa Trybunalskiego z dnia 27 lutego 2013 r. (Dz. Urz. Woj. Łódzkiego z 2013 r. poz. 2180) nieruchomość </w:t>
      </w:r>
      <w:r w:rsidRPr="00BC786B">
        <w:rPr>
          <w:rFonts w:ascii="Arial" w:hAnsi="Arial" w:cs="Arial"/>
          <w:sz w:val="24"/>
          <w:szCs w:val="24"/>
        </w:rPr>
        <w:t xml:space="preserve">położona w Piotrkowie Trybunalskim przy ul. Metalowców – kompleks nr II, stanowiący </w:t>
      </w:r>
      <w:r w:rsidRPr="00BC786B">
        <w:rPr>
          <w:rFonts w:ascii="Arial" w:hAnsi="Arial" w:cs="Arial"/>
          <w:bCs/>
          <w:sz w:val="24"/>
          <w:szCs w:val="24"/>
        </w:rPr>
        <w:t xml:space="preserve">działki oznaczona w ewidencji gruntów obręb 41 numerami: 27/4, 28/5, 26/3, 127/4 i 128/2 </w:t>
      </w:r>
      <w:r w:rsidRPr="00BC786B">
        <w:rPr>
          <w:rFonts w:ascii="Arial" w:eastAsia="Calibri" w:hAnsi="Arial" w:cs="Arial"/>
          <w:sz w:val="24"/>
          <w:szCs w:val="24"/>
          <w:lang w:eastAsia="en-US"/>
        </w:rPr>
        <w:t xml:space="preserve">położone są na terenie jednostki urbanistycznej 3P </w:t>
      </w:r>
      <w:r w:rsidRPr="00BC786B">
        <w:rPr>
          <w:rFonts w:ascii="Arial" w:hAnsi="Arial" w:cs="Arial"/>
          <w:sz w:val="24"/>
          <w:szCs w:val="24"/>
        </w:rPr>
        <w:t xml:space="preserve">- </w:t>
      </w:r>
      <w:r w:rsidRPr="00BC786B">
        <w:rPr>
          <w:rFonts w:ascii="Arial" w:eastAsia="Calibri" w:hAnsi="Arial" w:cs="Arial"/>
          <w:sz w:val="24"/>
          <w:szCs w:val="24"/>
          <w:lang w:eastAsia="en-US"/>
        </w:rPr>
        <w:t>zabudowa o funkcji aktywności ekonomicznej, obejmującej działalność produkcyjną, magazyny.</w:t>
      </w:r>
    </w:p>
    <w:p w14:paraId="0D978664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</w:p>
    <w:p w14:paraId="090B580A" w14:textId="77777777" w:rsidR="00A646C3" w:rsidRPr="00BC786B" w:rsidRDefault="00A646C3" w:rsidP="00BC786B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lastRenderedPageBreak/>
        <w:t>Szczegółowe informacje w zakresie dopuszczalnego sposobu zagospodarowania przedmiotowej nieruchomości oraz interpretacji zapisów planistycznych uzyskać można w Pracowni Planowania Przestrzennego w Piotrkowie Trybunalskim, ul. Farna 8, tel. 44</w:t>
      </w:r>
      <w:r w:rsidR="00422C86">
        <w:rPr>
          <w:rFonts w:ascii="Arial" w:eastAsia="MS Mincho" w:hAnsi="Arial" w:cs="Arial"/>
          <w:sz w:val="24"/>
          <w:szCs w:val="24"/>
        </w:rPr>
        <w:t xml:space="preserve"> </w:t>
      </w:r>
      <w:r w:rsidRPr="00BC786B">
        <w:rPr>
          <w:rFonts w:ascii="Arial" w:eastAsia="MS Mincho" w:hAnsi="Arial" w:cs="Arial"/>
          <w:sz w:val="24"/>
          <w:szCs w:val="24"/>
        </w:rPr>
        <w:t>732-15-10.</w:t>
      </w:r>
    </w:p>
    <w:p w14:paraId="133D2378" w14:textId="77777777" w:rsidR="00A646C3" w:rsidRPr="00BC786B" w:rsidRDefault="00A646C3" w:rsidP="00422C86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5. Wyżej wymieniona nieruchomość przeznaczona jest do sprzedaży, w drodze ustnego przetargu nieograniczonego.</w:t>
      </w:r>
    </w:p>
    <w:p w14:paraId="2B867009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</w:p>
    <w:p w14:paraId="5F84E102" w14:textId="77777777" w:rsidR="00A646C3" w:rsidRPr="00BC786B" w:rsidRDefault="00422C86" w:rsidP="00422C86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646C3" w:rsidRPr="00BC786B">
        <w:rPr>
          <w:rFonts w:ascii="Arial" w:hAnsi="Arial" w:cs="Arial"/>
          <w:sz w:val="24"/>
          <w:szCs w:val="24"/>
        </w:rPr>
        <w:t>Cena wywoławcza nieruchomości położonej przy  ul. Metalowców - kompleks numer II - wynosi: 2.100.000,00 zł</w:t>
      </w:r>
      <w:r>
        <w:rPr>
          <w:rFonts w:ascii="Arial" w:hAnsi="Arial" w:cs="Arial"/>
          <w:sz w:val="24"/>
          <w:szCs w:val="24"/>
        </w:rPr>
        <w:t>.</w:t>
      </w:r>
    </w:p>
    <w:p w14:paraId="07B8FE78" w14:textId="77777777" w:rsidR="00224B27" w:rsidRPr="00BC786B" w:rsidRDefault="00224B27" w:rsidP="00BC786B">
      <w:pPr>
        <w:spacing w:after="0" w:line="360" w:lineRule="auto"/>
        <w:ind w:left="60" w:hanging="60"/>
        <w:rPr>
          <w:rFonts w:ascii="Arial" w:eastAsia="MS Mincho" w:hAnsi="Arial" w:cs="Arial"/>
          <w:sz w:val="24"/>
          <w:szCs w:val="24"/>
        </w:rPr>
      </w:pPr>
    </w:p>
    <w:p w14:paraId="5F06F4EB" w14:textId="77777777" w:rsidR="00A646C3" w:rsidRPr="00BC786B" w:rsidRDefault="00A646C3" w:rsidP="00422C8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t>6. Cena nieruchomości osiągnięta w wyniku przetargu stanowi cenę nabycia nieruchomości.</w:t>
      </w:r>
    </w:p>
    <w:p w14:paraId="28EEC579" w14:textId="77777777" w:rsidR="00A646C3" w:rsidRPr="00BC786B" w:rsidRDefault="00A646C3" w:rsidP="00422C86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(Dz.U. z 202</w:t>
      </w:r>
      <w:r w:rsidR="006859EA" w:rsidRPr="00BC786B">
        <w:rPr>
          <w:rFonts w:ascii="Arial" w:eastAsia="MS Mincho" w:hAnsi="Arial" w:cs="Arial"/>
          <w:sz w:val="24"/>
          <w:szCs w:val="24"/>
        </w:rPr>
        <w:t>2</w:t>
      </w:r>
      <w:r w:rsidRPr="00BC786B">
        <w:rPr>
          <w:rFonts w:ascii="Arial" w:eastAsia="MS Mincho" w:hAnsi="Arial" w:cs="Arial"/>
          <w:sz w:val="24"/>
          <w:szCs w:val="24"/>
        </w:rPr>
        <w:t xml:space="preserve"> r., poz. </w:t>
      </w:r>
      <w:r w:rsidR="006859EA" w:rsidRPr="00BC786B">
        <w:rPr>
          <w:rFonts w:ascii="Arial" w:eastAsia="MS Mincho" w:hAnsi="Arial" w:cs="Arial"/>
          <w:sz w:val="24"/>
          <w:szCs w:val="24"/>
        </w:rPr>
        <w:t>931</w:t>
      </w:r>
      <w:r w:rsidRPr="00BC786B">
        <w:rPr>
          <w:rFonts w:ascii="Arial" w:eastAsia="MS Mincho" w:hAnsi="Arial" w:cs="Arial"/>
          <w:sz w:val="24"/>
          <w:szCs w:val="24"/>
        </w:rPr>
        <w:t xml:space="preserve"> z późniejszymi zmianami)</w:t>
      </w:r>
      <w:r w:rsidRPr="00BC786B">
        <w:rPr>
          <w:rFonts w:ascii="Arial" w:hAnsi="Arial" w:cs="Arial"/>
          <w:sz w:val="24"/>
          <w:szCs w:val="24"/>
        </w:rPr>
        <w:t xml:space="preserve"> do ceny nieruchomości osiągniętej w wyniku przetargu doliczony zostanie podatek od towarów i usług, według obowiązującej w dacie sprzedaży stawki – obecnie 23%.</w:t>
      </w:r>
    </w:p>
    <w:p w14:paraId="6B1A6E39" w14:textId="77777777" w:rsidR="00A646C3" w:rsidRPr="00BC786B" w:rsidRDefault="00A646C3" w:rsidP="00422C86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C</w:t>
      </w:r>
      <w:r w:rsidRPr="00BC786B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BC786B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BC786B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BC786B">
        <w:rPr>
          <w:rFonts w:ascii="Arial" w:hAnsi="Arial" w:cs="Arial"/>
          <w:sz w:val="24"/>
          <w:szCs w:val="24"/>
        </w:rPr>
        <w:t>.</w:t>
      </w:r>
    </w:p>
    <w:p w14:paraId="7003748B" w14:textId="77777777" w:rsidR="00A646C3" w:rsidRPr="00BC786B" w:rsidRDefault="00A646C3" w:rsidP="00422C86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BC786B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BC786B">
        <w:rPr>
          <w:rFonts w:ascii="Arial" w:eastAsia="Arial Unicode MS" w:hAnsi="Arial" w:cs="Arial"/>
          <w:sz w:val="24"/>
          <w:szCs w:val="24"/>
        </w:rPr>
        <w:t>.</w:t>
      </w:r>
    </w:p>
    <w:p w14:paraId="4F9AF1CE" w14:textId="77777777" w:rsidR="00A646C3" w:rsidRPr="00BC786B" w:rsidRDefault="00A646C3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 może nastąpić na wniosek i koszt nabywcy nieruchomości. Nabywca przyjmuje nieruchomość w stanie istniejącym.</w:t>
      </w:r>
    </w:p>
    <w:p w14:paraId="063B48AD" w14:textId="77777777" w:rsidR="00E957B2" w:rsidRPr="00BC786B" w:rsidRDefault="00A646C3" w:rsidP="00422C86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7</w:t>
      </w:r>
      <w:r w:rsidR="00E957B2" w:rsidRPr="00BC786B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2B5FCA59" w14:textId="77777777" w:rsidR="00E957B2" w:rsidRPr="00BC786B" w:rsidRDefault="00E957B2" w:rsidP="00422C8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lastRenderedPageBreak/>
        <w:t xml:space="preserve">Sprzedający nie odpowiada za wady ukryte </w:t>
      </w:r>
      <w:r w:rsidR="003C1886" w:rsidRPr="00BC786B">
        <w:rPr>
          <w:rFonts w:ascii="Arial" w:hAnsi="Arial" w:cs="Arial"/>
          <w:sz w:val="24"/>
          <w:szCs w:val="24"/>
        </w:rPr>
        <w:t xml:space="preserve">sprzedawanych </w:t>
      </w:r>
      <w:r w:rsidRPr="00BC786B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14:paraId="14E28656" w14:textId="77777777" w:rsidR="009277F6" w:rsidRPr="00BC786B" w:rsidRDefault="00A646C3" w:rsidP="00422C86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8</w:t>
      </w:r>
      <w:r w:rsidR="009277F6" w:rsidRPr="00BC786B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51484817" w14:textId="77777777" w:rsidR="009277F6" w:rsidRPr="00BC786B" w:rsidRDefault="009277F6" w:rsidP="00BC78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0272B2" w14:textId="77777777" w:rsidR="00224B27" w:rsidRPr="00BC786B" w:rsidRDefault="006859EA" w:rsidP="00BC786B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t>9.</w:t>
      </w:r>
      <w:r w:rsidR="00224B27" w:rsidRPr="00BC786B">
        <w:rPr>
          <w:rFonts w:ascii="Arial" w:eastAsia="MS Mincho" w:hAnsi="Arial" w:cs="Arial"/>
          <w:sz w:val="24"/>
          <w:szCs w:val="24"/>
        </w:rPr>
        <w:t xml:space="preserve"> Przetarg odbędzie się w dniu 16 grudnia 2022 r. o godzinie 10.00 w siedzibie Urzędu Miasta Piotrkowa Trybunalskiego ul. Szkolna 28 w  pokoju numer 304 na III piętrze – budynek A.</w:t>
      </w:r>
    </w:p>
    <w:p w14:paraId="41F6F66C" w14:textId="77777777" w:rsidR="00224B27" w:rsidRPr="00BC786B" w:rsidRDefault="00224B27" w:rsidP="00BC786B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t>Dotychczas przeprowadzone przetargi na sprzedaż przedmiotowej nieruchomości - pierwszy ustny przetarg nieograniczony przeprowadzony w dniu 08 kwietnia oraz drugi przetarg nieograniczony przeprowadzony w dniu 23 września 2022 r., zakończone zostały wynikiem negatywnym.</w:t>
      </w:r>
    </w:p>
    <w:p w14:paraId="3A586C52" w14:textId="77777777" w:rsidR="008E17D9" w:rsidRPr="00BC786B" w:rsidRDefault="008E17D9" w:rsidP="00BC78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t>1</w:t>
      </w:r>
      <w:r w:rsidR="00A646C3" w:rsidRPr="00BC786B">
        <w:rPr>
          <w:rFonts w:ascii="Arial" w:eastAsia="MS Mincho" w:hAnsi="Arial" w:cs="Arial"/>
          <w:sz w:val="24"/>
          <w:szCs w:val="24"/>
        </w:rPr>
        <w:t>0</w:t>
      </w:r>
      <w:r w:rsidRPr="00BC786B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BC786B">
        <w:rPr>
          <w:rFonts w:ascii="Arial" w:eastAsia="MS Mincho" w:hAnsi="Arial" w:cs="Arial"/>
          <w:sz w:val="24"/>
          <w:szCs w:val="24"/>
        </w:rPr>
        <w:t xml:space="preserve"> </w:t>
      </w:r>
      <w:r w:rsidRPr="00BC786B">
        <w:rPr>
          <w:rFonts w:ascii="Arial" w:hAnsi="Arial" w:cs="Arial"/>
          <w:bCs/>
          <w:sz w:val="24"/>
          <w:szCs w:val="24"/>
        </w:rPr>
        <w:t xml:space="preserve">ul. </w:t>
      </w:r>
      <w:r w:rsidR="00A646C3" w:rsidRPr="00BC786B">
        <w:rPr>
          <w:rFonts w:ascii="Arial" w:hAnsi="Arial" w:cs="Arial"/>
          <w:bCs/>
          <w:sz w:val="24"/>
          <w:szCs w:val="24"/>
        </w:rPr>
        <w:t>Metalowców – kompleks numer II</w:t>
      </w:r>
      <w:r w:rsidRPr="00BC786B">
        <w:rPr>
          <w:rFonts w:ascii="Arial" w:hAnsi="Arial" w:cs="Arial"/>
          <w:sz w:val="24"/>
          <w:szCs w:val="24"/>
        </w:rPr>
        <w:t xml:space="preserve"> wynosi: </w:t>
      </w:r>
      <w:r w:rsidR="00A646C3" w:rsidRPr="00BC786B">
        <w:rPr>
          <w:rFonts w:ascii="Arial" w:hAnsi="Arial" w:cs="Arial"/>
          <w:sz w:val="24"/>
          <w:szCs w:val="24"/>
        </w:rPr>
        <w:t>420</w:t>
      </w:r>
      <w:r w:rsidRPr="00BC786B">
        <w:rPr>
          <w:rFonts w:ascii="Arial" w:hAnsi="Arial" w:cs="Arial"/>
          <w:sz w:val="24"/>
          <w:szCs w:val="24"/>
        </w:rPr>
        <w:t>.000,00 zł</w:t>
      </w:r>
      <w:r w:rsidR="00224B27" w:rsidRPr="00BC786B">
        <w:rPr>
          <w:rFonts w:ascii="Arial" w:hAnsi="Arial" w:cs="Arial"/>
          <w:sz w:val="24"/>
          <w:szCs w:val="24"/>
        </w:rPr>
        <w:t xml:space="preserve"> </w:t>
      </w:r>
      <w:r w:rsidRPr="00BC786B">
        <w:rPr>
          <w:rFonts w:ascii="Arial" w:hAnsi="Arial" w:cs="Arial"/>
          <w:sz w:val="24"/>
          <w:szCs w:val="24"/>
        </w:rPr>
        <w:t xml:space="preserve"> i musi znajdować się na rachunku b</w:t>
      </w:r>
      <w:r w:rsidRPr="00BC786B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BC786B">
        <w:rPr>
          <w:rStyle w:val="Pogrubienie"/>
          <w:rFonts w:ascii="Arial" w:hAnsi="Arial" w:cs="Arial"/>
          <w:b w:val="0"/>
          <w:sz w:val="24"/>
          <w:szCs w:val="24"/>
        </w:rPr>
        <w:t>Getin Noble  Bank SA n</w:t>
      </w:r>
      <w:r w:rsidR="00D538D8" w:rsidRPr="00BC786B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Pr="00BC786B">
        <w:rPr>
          <w:rStyle w:val="Pogrubienie"/>
          <w:rFonts w:ascii="Arial" w:hAnsi="Arial" w:cs="Arial"/>
          <w:b w:val="0"/>
          <w:sz w:val="24"/>
          <w:szCs w:val="24"/>
        </w:rPr>
        <w:t>r konta:</w:t>
      </w:r>
      <w:r w:rsidRPr="00BC786B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6859EA" w:rsidRPr="00BC786B">
        <w:rPr>
          <w:rFonts w:ascii="Arial" w:hAnsi="Arial" w:cs="Arial"/>
          <w:bCs/>
          <w:sz w:val="24"/>
          <w:szCs w:val="24"/>
        </w:rPr>
        <w:t>1</w:t>
      </w:r>
      <w:r w:rsidR="00224B27" w:rsidRPr="00BC786B">
        <w:rPr>
          <w:rFonts w:ascii="Arial" w:hAnsi="Arial" w:cs="Arial"/>
          <w:bCs/>
          <w:sz w:val="24"/>
          <w:szCs w:val="24"/>
        </w:rPr>
        <w:t>2</w:t>
      </w:r>
      <w:r w:rsidR="006859EA" w:rsidRPr="00BC786B">
        <w:rPr>
          <w:rFonts w:ascii="Arial" w:hAnsi="Arial" w:cs="Arial"/>
          <w:bCs/>
          <w:sz w:val="24"/>
          <w:szCs w:val="24"/>
        </w:rPr>
        <w:t xml:space="preserve"> </w:t>
      </w:r>
      <w:r w:rsidR="00224B27" w:rsidRPr="00BC786B">
        <w:rPr>
          <w:rFonts w:ascii="Arial" w:hAnsi="Arial" w:cs="Arial"/>
          <w:bCs/>
          <w:sz w:val="24"/>
          <w:szCs w:val="24"/>
        </w:rPr>
        <w:t>grud</w:t>
      </w:r>
      <w:r w:rsidR="006859EA" w:rsidRPr="00BC786B">
        <w:rPr>
          <w:rFonts w:ascii="Arial" w:hAnsi="Arial" w:cs="Arial"/>
          <w:bCs/>
          <w:sz w:val="24"/>
          <w:szCs w:val="24"/>
        </w:rPr>
        <w:t>nia</w:t>
      </w:r>
      <w:r w:rsidR="00A646C3" w:rsidRPr="00BC786B">
        <w:rPr>
          <w:rFonts w:ascii="Arial" w:hAnsi="Arial" w:cs="Arial"/>
          <w:bCs/>
          <w:sz w:val="24"/>
          <w:szCs w:val="24"/>
        </w:rPr>
        <w:t xml:space="preserve"> </w:t>
      </w:r>
      <w:r w:rsidRPr="00BC786B">
        <w:rPr>
          <w:rFonts w:ascii="Arial" w:hAnsi="Arial" w:cs="Arial"/>
          <w:bCs/>
          <w:sz w:val="24"/>
          <w:szCs w:val="24"/>
        </w:rPr>
        <w:t>202</w:t>
      </w:r>
      <w:r w:rsidR="00EA1611" w:rsidRPr="00BC786B">
        <w:rPr>
          <w:rFonts w:ascii="Arial" w:hAnsi="Arial" w:cs="Arial"/>
          <w:bCs/>
          <w:sz w:val="24"/>
          <w:szCs w:val="24"/>
        </w:rPr>
        <w:t>2</w:t>
      </w:r>
      <w:r w:rsidRPr="00BC786B">
        <w:rPr>
          <w:rFonts w:ascii="Arial" w:hAnsi="Arial" w:cs="Arial"/>
          <w:bCs/>
          <w:sz w:val="24"/>
          <w:szCs w:val="24"/>
        </w:rPr>
        <w:t xml:space="preserve"> r</w:t>
      </w:r>
      <w:r w:rsidRPr="00BC786B">
        <w:rPr>
          <w:rFonts w:ascii="Arial" w:hAnsi="Arial" w:cs="Arial"/>
          <w:sz w:val="24"/>
          <w:szCs w:val="24"/>
        </w:rPr>
        <w:t>.(włącznie), przy czym wpłata wadium nie powoduje naliczenia  odsetek od zdeponowanej kwoty.</w:t>
      </w:r>
    </w:p>
    <w:p w14:paraId="6D404C85" w14:textId="77777777" w:rsidR="008E17D9" w:rsidRPr="00BC786B" w:rsidRDefault="008E17D9" w:rsidP="00422C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56C47623" w14:textId="77777777" w:rsidR="008E17D9" w:rsidRPr="00BC786B" w:rsidRDefault="008E17D9" w:rsidP="00422C8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49F5053D" w14:textId="77777777" w:rsidR="008E17D9" w:rsidRPr="00BC786B" w:rsidRDefault="008E17D9" w:rsidP="00422C8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14:paraId="57D6DDE9" w14:textId="77777777" w:rsidR="008E17D9" w:rsidRPr="00BC786B" w:rsidRDefault="008E17D9" w:rsidP="00422C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690C0AEF" w14:textId="77777777" w:rsidR="008E17D9" w:rsidRPr="00BC786B" w:rsidRDefault="008E17D9" w:rsidP="00BC786B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BC786B">
        <w:rPr>
          <w:rFonts w:ascii="Arial" w:hAnsi="Arial" w:cs="Arial"/>
          <w:bCs/>
          <w:spacing w:val="-10"/>
          <w:sz w:val="24"/>
          <w:szCs w:val="24"/>
        </w:rPr>
        <w:t>1</w:t>
      </w:r>
      <w:r w:rsidR="00A646C3" w:rsidRPr="00BC786B">
        <w:rPr>
          <w:rFonts w:ascii="Arial" w:hAnsi="Arial" w:cs="Arial"/>
          <w:bCs/>
          <w:spacing w:val="-10"/>
          <w:sz w:val="24"/>
          <w:szCs w:val="24"/>
        </w:rPr>
        <w:t>1</w:t>
      </w:r>
      <w:r w:rsidRPr="00BC786B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BC786B">
        <w:rPr>
          <w:rFonts w:ascii="Arial" w:hAnsi="Arial" w:cs="Arial"/>
          <w:bCs/>
          <w:sz w:val="24"/>
          <w:szCs w:val="24"/>
        </w:rPr>
        <w:t>W przetargu mogą brać udział osoby fizyczne i prawne, które złożą zgłoszenie</w:t>
      </w:r>
      <w:r w:rsidR="00A646C3" w:rsidRPr="00BC786B">
        <w:rPr>
          <w:rFonts w:ascii="Arial" w:hAnsi="Arial" w:cs="Arial"/>
          <w:bCs/>
          <w:sz w:val="24"/>
          <w:szCs w:val="24"/>
        </w:rPr>
        <w:t xml:space="preserve"> </w:t>
      </w:r>
      <w:r w:rsidRPr="00BC786B">
        <w:rPr>
          <w:rFonts w:ascii="Arial" w:hAnsi="Arial" w:cs="Arial"/>
          <w:bCs/>
          <w:sz w:val="24"/>
          <w:szCs w:val="24"/>
        </w:rPr>
        <w:t xml:space="preserve">udziału w przetargu wraz z wymaganymi dokumentami wynikającymi z regulaminu </w:t>
      </w:r>
      <w:r w:rsidRPr="00BC786B">
        <w:rPr>
          <w:rFonts w:ascii="Arial" w:hAnsi="Arial" w:cs="Arial"/>
          <w:bCs/>
          <w:sz w:val="24"/>
          <w:szCs w:val="24"/>
        </w:rPr>
        <w:lastRenderedPageBreak/>
        <w:t>przetargu (zgłoszenie udziału w przetargu stanowi załącznik do niniejszego ogłoszenia) oraz terminowo wpłacą wadium.</w:t>
      </w:r>
    </w:p>
    <w:p w14:paraId="0E0C641F" w14:textId="77777777" w:rsidR="008E17D9" w:rsidRPr="00BC786B" w:rsidRDefault="008E17D9" w:rsidP="00BC786B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BC786B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6859EA" w:rsidRPr="00BC786B">
        <w:rPr>
          <w:rFonts w:ascii="Arial" w:hAnsi="Arial" w:cs="Arial"/>
          <w:bCs/>
          <w:sz w:val="24"/>
          <w:szCs w:val="24"/>
        </w:rPr>
        <w:t>1</w:t>
      </w:r>
      <w:r w:rsidR="00224B27" w:rsidRPr="00BC786B">
        <w:rPr>
          <w:rFonts w:ascii="Arial" w:hAnsi="Arial" w:cs="Arial"/>
          <w:bCs/>
          <w:sz w:val="24"/>
          <w:szCs w:val="24"/>
        </w:rPr>
        <w:t>2</w:t>
      </w:r>
      <w:r w:rsidR="006859EA" w:rsidRPr="00BC786B">
        <w:rPr>
          <w:rFonts w:ascii="Arial" w:hAnsi="Arial" w:cs="Arial"/>
          <w:bCs/>
          <w:sz w:val="24"/>
          <w:szCs w:val="24"/>
        </w:rPr>
        <w:t xml:space="preserve"> </w:t>
      </w:r>
      <w:r w:rsidR="00224B27" w:rsidRPr="00BC786B">
        <w:rPr>
          <w:rFonts w:ascii="Arial" w:hAnsi="Arial" w:cs="Arial"/>
          <w:bCs/>
          <w:sz w:val="24"/>
          <w:szCs w:val="24"/>
        </w:rPr>
        <w:t>grudn</w:t>
      </w:r>
      <w:r w:rsidR="006859EA" w:rsidRPr="00BC786B">
        <w:rPr>
          <w:rFonts w:ascii="Arial" w:hAnsi="Arial" w:cs="Arial"/>
          <w:bCs/>
          <w:sz w:val="24"/>
          <w:szCs w:val="24"/>
        </w:rPr>
        <w:t>ia</w:t>
      </w:r>
      <w:r w:rsidR="00EA1611" w:rsidRPr="00BC786B">
        <w:rPr>
          <w:rFonts w:ascii="Arial" w:hAnsi="Arial" w:cs="Arial"/>
          <w:bCs/>
          <w:sz w:val="24"/>
          <w:szCs w:val="24"/>
        </w:rPr>
        <w:t xml:space="preserve"> 2022 </w:t>
      </w:r>
      <w:r w:rsidRPr="00BC786B">
        <w:rPr>
          <w:rFonts w:ascii="Arial" w:hAnsi="Arial" w:cs="Arial"/>
          <w:bCs/>
          <w:sz w:val="24"/>
          <w:szCs w:val="24"/>
        </w:rPr>
        <w:t>r. włącznie do godz</w:t>
      </w:r>
      <w:r w:rsidR="00EA1611" w:rsidRPr="00BC786B">
        <w:rPr>
          <w:rFonts w:ascii="Arial" w:hAnsi="Arial" w:cs="Arial"/>
          <w:bCs/>
          <w:sz w:val="24"/>
          <w:szCs w:val="24"/>
        </w:rPr>
        <w:t>iny</w:t>
      </w:r>
      <w:r w:rsidRPr="00BC786B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BC786B">
        <w:rPr>
          <w:rFonts w:ascii="Arial" w:hAnsi="Arial" w:cs="Arial"/>
          <w:bCs/>
          <w:sz w:val="24"/>
          <w:szCs w:val="24"/>
        </w:rPr>
        <w:t>.00</w:t>
      </w:r>
      <w:r w:rsidRPr="00BC786B">
        <w:rPr>
          <w:rFonts w:ascii="Arial" w:hAnsi="Arial" w:cs="Arial"/>
          <w:bCs/>
          <w:sz w:val="24"/>
          <w:szCs w:val="24"/>
        </w:rPr>
        <w:t xml:space="preserve">: </w:t>
      </w:r>
    </w:p>
    <w:p w14:paraId="0C699EF4" w14:textId="77777777" w:rsidR="00B85867" w:rsidRPr="00BC786B" w:rsidRDefault="00B85867" w:rsidP="00BC786B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14:paraId="4B03B821" w14:textId="77777777" w:rsidR="008E17D9" w:rsidRPr="00422C86" w:rsidRDefault="00422C86" w:rsidP="00422C86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 w:rsidR="008E17D9" w:rsidRPr="00422C86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422C86">
        <w:rPr>
          <w:rFonts w:ascii="Arial" w:hAnsi="Arial" w:cs="Arial"/>
          <w:bCs/>
          <w:sz w:val="24"/>
          <w:szCs w:val="24"/>
        </w:rPr>
        <w:t>,</w:t>
      </w:r>
    </w:p>
    <w:p w14:paraId="68BB9A62" w14:textId="77777777" w:rsidR="008E17D9" w:rsidRPr="00422C86" w:rsidRDefault="008E17D9" w:rsidP="00422C86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422C86">
        <w:rPr>
          <w:rFonts w:ascii="Arial" w:hAnsi="Arial" w:cs="Arial"/>
          <w:bCs/>
          <w:sz w:val="24"/>
          <w:szCs w:val="24"/>
        </w:rPr>
        <w:t>albo</w:t>
      </w:r>
    </w:p>
    <w:p w14:paraId="001E9DFD" w14:textId="77777777" w:rsidR="008E17D9" w:rsidRPr="00422C86" w:rsidRDefault="00422C86" w:rsidP="00422C86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422C86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422C86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224B27" w:rsidRPr="00422C86">
        <w:rPr>
          <w:rFonts w:ascii="Arial" w:hAnsi="Arial" w:cs="Arial"/>
          <w:sz w:val="24"/>
          <w:szCs w:val="24"/>
        </w:rPr>
        <w:t>trzeci</w:t>
      </w:r>
      <w:r w:rsidR="00A646C3" w:rsidRPr="00422C86">
        <w:rPr>
          <w:rFonts w:ascii="Arial" w:hAnsi="Arial" w:cs="Arial"/>
          <w:sz w:val="24"/>
          <w:szCs w:val="24"/>
        </w:rPr>
        <w:t xml:space="preserve">m </w:t>
      </w:r>
      <w:r w:rsidR="008E17D9" w:rsidRPr="00422C86">
        <w:rPr>
          <w:rFonts w:ascii="Arial" w:hAnsi="Arial" w:cs="Arial"/>
          <w:sz w:val="24"/>
          <w:szCs w:val="24"/>
        </w:rPr>
        <w:t xml:space="preserve">ustnym przetargu nieograniczonym na sprzedaż niezabudowanej nieruchomości położonej </w:t>
      </w:r>
      <w:r>
        <w:rPr>
          <w:rFonts w:ascii="Arial" w:hAnsi="Arial" w:cs="Arial"/>
          <w:sz w:val="24"/>
          <w:szCs w:val="24"/>
        </w:rPr>
        <w:t>w</w:t>
      </w:r>
      <w:r w:rsidR="008E17D9" w:rsidRPr="00422C86">
        <w:rPr>
          <w:rFonts w:ascii="Arial" w:hAnsi="Arial" w:cs="Arial"/>
          <w:sz w:val="24"/>
          <w:szCs w:val="24"/>
        </w:rPr>
        <w:t xml:space="preserve"> Piotrkowie Trybunalskim przy </w:t>
      </w:r>
      <w:r w:rsidR="008E17D9" w:rsidRPr="00422C86">
        <w:rPr>
          <w:rFonts w:ascii="Arial" w:eastAsia="MS Mincho" w:hAnsi="Arial" w:cs="Arial"/>
          <w:sz w:val="24"/>
          <w:szCs w:val="24"/>
        </w:rPr>
        <w:t xml:space="preserve">ul. </w:t>
      </w:r>
      <w:r w:rsidR="00A646C3" w:rsidRPr="00422C86">
        <w:rPr>
          <w:rFonts w:ascii="Arial" w:eastAsia="MS Mincho" w:hAnsi="Arial" w:cs="Arial"/>
          <w:sz w:val="24"/>
          <w:szCs w:val="24"/>
        </w:rPr>
        <w:t xml:space="preserve">Metalowców – kompleks numer II </w:t>
      </w:r>
      <w:r w:rsidR="008E17D9" w:rsidRPr="00422C86">
        <w:rPr>
          <w:rFonts w:ascii="Arial" w:eastAsia="MS Mincho" w:hAnsi="Arial" w:cs="Arial"/>
          <w:sz w:val="24"/>
          <w:szCs w:val="24"/>
        </w:rPr>
        <w:t>”.</w:t>
      </w:r>
    </w:p>
    <w:p w14:paraId="319F941B" w14:textId="77777777" w:rsidR="008E17D9" w:rsidRPr="00BC786B" w:rsidRDefault="008E17D9" w:rsidP="00BC786B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52019531" w14:textId="77777777" w:rsidR="008E17D9" w:rsidRPr="00BC786B" w:rsidRDefault="008E17D9" w:rsidP="00BC786B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BC786B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21C568AC" w14:textId="77777777" w:rsidR="008E17D9" w:rsidRPr="00BC786B" w:rsidRDefault="008E17D9" w:rsidP="00BC786B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2D4D493B" w14:textId="77777777" w:rsidR="008E17D9" w:rsidRPr="00BC786B" w:rsidRDefault="008E17D9" w:rsidP="00BC786B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1</w:t>
      </w:r>
      <w:r w:rsidR="00A646C3" w:rsidRPr="00BC786B">
        <w:rPr>
          <w:rFonts w:ascii="Arial" w:hAnsi="Arial" w:cs="Arial"/>
          <w:sz w:val="24"/>
          <w:szCs w:val="24"/>
        </w:rPr>
        <w:t>2</w:t>
      </w:r>
      <w:r w:rsidRPr="00BC786B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 podając do publicznej wiadomości informację o odwołaniu przetargu poprzez wywieszenie na tablicy ogłoszeń w siedzibie Urzędu Miasta, zamieszczenie ogłoszenia w prasie,  a także na stronie internetowej.</w:t>
      </w:r>
    </w:p>
    <w:p w14:paraId="08FF1F80" w14:textId="77777777" w:rsidR="008E17D9" w:rsidRPr="00BC786B" w:rsidRDefault="008E17D9" w:rsidP="00BC786B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1</w:t>
      </w:r>
      <w:r w:rsidR="00A646C3" w:rsidRPr="00BC786B">
        <w:rPr>
          <w:rFonts w:ascii="Arial" w:hAnsi="Arial" w:cs="Arial"/>
          <w:sz w:val="24"/>
          <w:szCs w:val="24"/>
        </w:rPr>
        <w:t>3</w:t>
      </w:r>
      <w:r w:rsidRPr="00BC786B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</w:t>
      </w:r>
      <w:r w:rsidR="00422C86">
        <w:rPr>
          <w:rFonts w:ascii="Arial" w:hAnsi="Arial" w:cs="Arial"/>
          <w:sz w:val="24"/>
          <w:szCs w:val="24"/>
        </w:rPr>
        <w:t>.</w:t>
      </w:r>
    </w:p>
    <w:p w14:paraId="3E68146B" w14:textId="77777777" w:rsidR="008E17D9" w:rsidRPr="00BC786B" w:rsidRDefault="008E17D9" w:rsidP="00BC786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1</w:t>
      </w:r>
      <w:r w:rsidR="00A646C3" w:rsidRPr="00BC786B">
        <w:rPr>
          <w:rFonts w:ascii="Arial" w:hAnsi="Arial" w:cs="Arial"/>
          <w:sz w:val="24"/>
          <w:szCs w:val="24"/>
        </w:rPr>
        <w:t>4</w:t>
      </w:r>
      <w:r w:rsidRPr="00BC786B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14:paraId="39E41913" w14:textId="77777777" w:rsidR="008E17D9" w:rsidRPr="00BC786B" w:rsidRDefault="008E17D9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7EA2BD53" w14:textId="77777777" w:rsidR="008E17D9" w:rsidRPr="00BC786B" w:rsidRDefault="00422C86" w:rsidP="00BC78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8E17D9" w:rsidRPr="00BC786B">
        <w:rPr>
          <w:rFonts w:ascii="Arial" w:hAnsi="Arial" w:cs="Arial"/>
          <w:sz w:val="24"/>
          <w:szCs w:val="24"/>
        </w:rPr>
        <w:t>eżeli osoba ustalona jako nabywca nieruchomości nie przystąpi bez usprawiedliwienia do zawarcia umowy w miejscu i</w:t>
      </w:r>
      <w:r>
        <w:rPr>
          <w:rFonts w:ascii="Arial" w:hAnsi="Arial" w:cs="Arial"/>
          <w:sz w:val="24"/>
          <w:szCs w:val="24"/>
        </w:rPr>
        <w:t xml:space="preserve"> </w:t>
      </w:r>
      <w:r w:rsidR="008E17D9" w:rsidRPr="00BC786B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444607AC" w14:textId="77777777" w:rsidR="005A66CE" w:rsidRPr="00BC786B" w:rsidRDefault="008E17D9" w:rsidP="00BC786B">
      <w:pPr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BC786B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BC786B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BC786B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BC786B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BC786B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D538D8" w:rsidRPr="00BC786B">
        <w:rPr>
          <w:rFonts w:ascii="Arial" w:hAnsi="Arial" w:cs="Arial"/>
          <w:sz w:val="24"/>
          <w:szCs w:val="24"/>
        </w:rPr>
        <w:t>I</w:t>
      </w:r>
      <w:r w:rsidR="006859EA" w:rsidRPr="00BC786B">
        <w:rPr>
          <w:rFonts w:ascii="Arial" w:hAnsi="Arial" w:cs="Arial"/>
          <w:sz w:val="24"/>
          <w:szCs w:val="24"/>
        </w:rPr>
        <w:t>I</w:t>
      </w:r>
      <w:r w:rsidRPr="00BC786B">
        <w:rPr>
          <w:rFonts w:ascii="Arial" w:hAnsi="Arial" w:cs="Arial"/>
          <w:sz w:val="24"/>
          <w:szCs w:val="24"/>
        </w:rPr>
        <w:t xml:space="preserve"> półrocze 202</w:t>
      </w:r>
      <w:r w:rsidR="00A646C3" w:rsidRPr="00BC786B">
        <w:rPr>
          <w:rFonts w:ascii="Arial" w:hAnsi="Arial" w:cs="Arial"/>
          <w:sz w:val="24"/>
          <w:szCs w:val="24"/>
        </w:rPr>
        <w:t>2</w:t>
      </w:r>
      <w:r w:rsidRPr="00BC786B">
        <w:rPr>
          <w:rFonts w:ascii="Arial" w:hAnsi="Arial" w:cs="Arial"/>
          <w:sz w:val="24"/>
          <w:szCs w:val="24"/>
        </w:rPr>
        <w:t xml:space="preserve"> r.</w:t>
      </w:r>
      <w:r w:rsidRPr="00BC78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C786B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BC786B">
        <w:rPr>
          <w:rFonts w:ascii="Arial" w:hAnsi="Arial" w:cs="Arial"/>
          <w:sz w:val="24"/>
          <w:szCs w:val="24"/>
        </w:rPr>
        <w:t>podany zosta</w:t>
      </w:r>
      <w:r w:rsidR="00EA1611" w:rsidRPr="00BC786B">
        <w:rPr>
          <w:rFonts w:ascii="Arial" w:hAnsi="Arial" w:cs="Arial"/>
          <w:sz w:val="24"/>
          <w:szCs w:val="24"/>
        </w:rPr>
        <w:t>ł</w:t>
      </w:r>
      <w:r w:rsidRPr="00BC786B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BC786B">
        <w:rPr>
          <w:rFonts w:ascii="Arial" w:hAnsi="Arial" w:cs="Arial"/>
          <w:sz w:val="24"/>
          <w:szCs w:val="24"/>
        </w:rPr>
        <w:t>w prasie codziennej o zasięgu ogólnokrajowym.</w:t>
      </w:r>
    </w:p>
    <w:p w14:paraId="4DA12853" w14:textId="77777777" w:rsidR="008E17D9" w:rsidRPr="00BC786B" w:rsidRDefault="008E17D9" w:rsidP="00BC786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BC786B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BC786B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BC786B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A646C3" w:rsidRPr="00BC786B">
        <w:rPr>
          <w:rFonts w:ascii="Arial" w:eastAsia="MS Mincho" w:hAnsi="Arial" w:cs="Arial"/>
          <w:sz w:val="24"/>
          <w:szCs w:val="24"/>
        </w:rPr>
        <w:t>2</w:t>
      </w:r>
      <w:r w:rsidRPr="00BC786B">
        <w:rPr>
          <w:rFonts w:ascii="Arial" w:eastAsia="MS Mincho" w:hAnsi="Arial" w:cs="Arial"/>
          <w:sz w:val="24"/>
          <w:szCs w:val="24"/>
        </w:rPr>
        <w:t xml:space="preserve"> rok→ </w:t>
      </w:r>
      <w:r w:rsidR="00D538D8" w:rsidRPr="00BC786B">
        <w:rPr>
          <w:rFonts w:ascii="Arial" w:eastAsia="MS Mincho" w:hAnsi="Arial" w:cs="Arial"/>
          <w:sz w:val="24"/>
          <w:szCs w:val="24"/>
        </w:rPr>
        <w:t>I</w:t>
      </w:r>
      <w:r w:rsidR="00224B27" w:rsidRPr="00BC786B">
        <w:rPr>
          <w:rFonts w:ascii="Arial" w:eastAsia="MS Mincho" w:hAnsi="Arial" w:cs="Arial"/>
          <w:sz w:val="24"/>
          <w:szCs w:val="24"/>
        </w:rPr>
        <w:t>V</w:t>
      </w:r>
      <w:r w:rsidRPr="00BC786B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3A94E5FF" w14:textId="77777777" w:rsidR="0018483F" w:rsidRPr="00BC786B" w:rsidRDefault="0018483F" w:rsidP="00BC786B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7D484C69" w14:textId="77777777" w:rsidR="009C32A0" w:rsidRPr="00BC786B" w:rsidRDefault="008E17D9" w:rsidP="00BC786B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BC786B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BC786B">
        <w:rPr>
          <w:rFonts w:ascii="Arial" w:hAnsi="Arial" w:cs="Arial"/>
          <w:sz w:val="24"/>
          <w:szCs w:val="24"/>
        </w:rPr>
        <w:t>7:30-15:30.</w:t>
      </w:r>
    </w:p>
    <w:sectPr w:rsidR="009C32A0" w:rsidRPr="00BC786B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67525">
    <w:abstractNumId w:val="0"/>
  </w:num>
  <w:num w:numId="2" w16cid:durableId="1401178429">
    <w:abstractNumId w:val="1"/>
  </w:num>
  <w:num w:numId="3" w16cid:durableId="373506335">
    <w:abstractNumId w:val="2"/>
  </w:num>
  <w:num w:numId="4" w16cid:durableId="95248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35F7C"/>
    <w:rsid w:val="000D0229"/>
    <w:rsid w:val="000E6BA2"/>
    <w:rsid w:val="00162353"/>
    <w:rsid w:val="00180DC0"/>
    <w:rsid w:val="0018483F"/>
    <w:rsid w:val="001A5A30"/>
    <w:rsid w:val="00224B27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3F39A8"/>
    <w:rsid w:val="00410D11"/>
    <w:rsid w:val="00422C86"/>
    <w:rsid w:val="00460456"/>
    <w:rsid w:val="0051058A"/>
    <w:rsid w:val="005A66CE"/>
    <w:rsid w:val="00674259"/>
    <w:rsid w:val="006859EA"/>
    <w:rsid w:val="00783A6C"/>
    <w:rsid w:val="00795A96"/>
    <w:rsid w:val="00805049"/>
    <w:rsid w:val="0080757C"/>
    <w:rsid w:val="008362AB"/>
    <w:rsid w:val="00842A36"/>
    <w:rsid w:val="00885D2F"/>
    <w:rsid w:val="008C24EA"/>
    <w:rsid w:val="008D4EBE"/>
    <w:rsid w:val="008E17D9"/>
    <w:rsid w:val="00921E23"/>
    <w:rsid w:val="009277F6"/>
    <w:rsid w:val="00974DB8"/>
    <w:rsid w:val="009B6EFB"/>
    <w:rsid w:val="009B796A"/>
    <w:rsid w:val="009C32A0"/>
    <w:rsid w:val="00A32A76"/>
    <w:rsid w:val="00A37BAE"/>
    <w:rsid w:val="00A646C3"/>
    <w:rsid w:val="00A835CF"/>
    <w:rsid w:val="00B37609"/>
    <w:rsid w:val="00B7108E"/>
    <w:rsid w:val="00B85867"/>
    <w:rsid w:val="00BC786B"/>
    <w:rsid w:val="00C66B42"/>
    <w:rsid w:val="00C7210D"/>
    <w:rsid w:val="00CD52CC"/>
    <w:rsid w:val="00D538D8"/>
    <w:rsid w:val="00D53BF2"/>
    <w:rsid w:val="00DB70AE"/>
    <w:rsid w:val="00DD3412"/>
    <w:rsid w:val="00DE73FC"/>
    <w:rsid w:val="00E41226"/>
    <w:rsid w:val="00E957B2"/>
    <w:rsid w:val="00EA1611"/>
    <w:rsid w:val="00F036D8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6BB4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10116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2022-01-11T10:23:00Z</cp:lastPrinted>
  <dcterms:created xsi:type="dcterms:W3CDTF">2022-10-11T07:53:00Z</dcterms:created>
  <dcterms:modified xsi:type="dcterms:W3CDTF">2022-10-11T07:53:00Z</dcterms:modified>
</cp:coreProperties>
</file>