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72F4" w14:textId="30B274AE" w:rsidR="00573C67" w:rsidRDefault="00573C67" w:rsidP="00C56C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C H W A Ł A   N R</w:t>
      </w:r>
      <w:r w:rsidR="00C56CCF">
        <w:rPr>
          <w:rFonts w:ascii="Arial" w:hAnsi="Arial" w:cs="Arial"/>
          <w:sz w:val="24"/>
          <w:szCs w:val="24"/>
        </w:rPr>
        <w:t>……….</w:t>
      </w:r>
    </w:p>
    <w:p w14:paraId="70D5B35C" w14:textId="77777777" w:rsidR="00573C67" w:rsidRDefault="00573C67" w:rsidP="00C56C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MIASTA PIOTRKOWA TRYBUNALSKIEGO</w:t>
      </w:r>
    </w:p>
    <w:p w14:paraId="514EBD84" w14:textId="5C3295A9" w:rsidR="00573C67" w:rsidRDefault="00573C67" w:rsidP="00C56C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</w:t>
      </w:r>
      <w:r w:rsidR="00C56CCF">
        <w:rPr>
          <w:rFonts w:ascii="Arial" w:hAnsi="Arial" w:cs="Arial"/>
          <w:sz w:val="24"/>
          <w:szCs w:val="24"/>
        </w:rPr>
        <w:t>…………</w:t>
      </w:r>
    </w:p>
    <w:p w14:paraId="4BF90061" w14:textId="270CA7A4" w:rsidR="00573C67" w:rsidRDefault="00573C67" w:rsidP="00573C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sprawie zmiany Wieloletniej Prognozy Finansowej</w:t>
      </w:r>
      <w:r w:rsidR="00C56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Miasta Piotrkowa Trybunalskiego</w:t>
      </w:r>
    </w:p>
    <w:p w14:paraId="2A906B05" w14:textId="77777777" w:rsidR="00573C67" w:rsidRDefault="00573C67" w:rsidP="00573C67">
      <w:pPr>
        <w:spacing w:line="360" w:lineRule="auto"/>
        <w:rPr>
          <w:rFonts w:ascii="Arial" w:hAnsi="Arial" w:cs="Arial"/>
          <w:sz w:val="24"/>
          <w:szCs w:val="24"/>
        </w:rPr>
      </w:pPr>
    </w:p>
    <w:p w14:paraId="01667A3C" w14:textId="77777777" w:rsidR="00573C67" w:rsidRDefault="00573C67" w:rsidP="00573C6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2022 r. poz. 559, poz. 583, poz. 1005, poz. 1079) oraz art. 226, art. 227, art. 228, art. 230 ust. 6, art. 242, art. 243, art. 258 ustawy z dnia 27 sierpnia 2009 r. o finansach publicznych (</w:t>
      </w:r>
      <w:r>
        <w:rPr>
          <w:rFonts w:ascii="Arial" w:hAnsi="Arial" w:cs="Arial"/>
          <w:color w:val="000000" w:themeColor="text1"/>
          <w:sz w:val="24"/>
          <w:szCs w:val="24"/>
        </w:rPr>
        <w:t>Dz. U. z 2021 r. poz. 305, poz. 1236, poz. 1535, poz. 1773, poz. 1927, poz. 1981, poz. 2270, z 2022 r. poz. 583, poz. 655, poz. 1079</w:t>
      </w:r>
      <w:r>
        <w:rPr>
          <w:rFonts w:ascii="Arial" w:hAnsi="Arial" w:cs="Arial"/>
          <w:color w:val="000000"/>
          <w:sz w:val="24"/>
          <w:szCs w:val="24"/>
        </w:rPr>
        <w:t xml:space="preserve">)  </w:t>
      </w:r>
      <w:r>
        <w:rPr>
          <w:rFonts w:ascii="Arial" w:hAnsi="Arial" w:cs="Arial"/>
          <w:bCs/>
          <w:spacing w:val="60"/>
          <w:sz w:val="24"/>
          <w:szCs w:val="24"/>
        </w:rPr>
        <w:t>uchwala się</w:t>
      </w:r>
      <w:r>
        <w:rPr>
          <w:rFonts w:ascii="Arial" w:hAnsi="Arial" w:cs="Arial"/>
          <w:bCs/>
          <w:sz w:val="24"/>
          <w:szCs w:val="24"/>
        </w:rPr>
        <w:t>,  co następuje:</w:t>
      </w:r>
    </w:p>
    <w:p w14:paraId="536BF3FD" w14:textId="77777777" w:rsidR="00573C67" w:rsidRDefault="00573C67" w:rsidP="00573C6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1. 1. Prognoza kwoty długu i spłat zobowiązań</w:t>
      </w:r>
      <w:r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stanowiąca załącznik nr 1 do Uchwały Nr LI/647/22 Rady Miasta Piotrkowa Trybunalskiego z dnia 25 maja 2022 r. w sprawie zmiany Wieloletniej Prognozy Finansowej Miasta Piotrkowa Trybunalskiego, otrzymuje brzmienie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zgodne z załącznikiem Nr 1 do niniejszej uchwały.</w:t>
      </w:r>
    </w:p>
    <w:p w14:paraId="6F7C007C" w14:textId="77777777" w:rsidR="00573C67" w:rsidRDefault="00573C67" w:rsidP="00573C6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Wykaz przedsięwzięć</w:t>
      </w:r>
      <w:r>
        <w:rPr>
          <w:i/>
          <w:iCs/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stanowiący załącznik nr 2 do Uchwały Nr LI/647/22 Rady Miasta Piotrkowa Trybunalskiego z dnia 25 maja 2022 r. w sprawie przyjęcia Wieloletniej Prognozy Finansowej Miasta Piotrkowa Trybunalskiego,</w:t>
      </w:r>
      <w:r>
        <w:rPr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otrzymuje brzmienie</w:t>
      </w:r>
      <w:r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zgodne z załącznikiem Nr 2 do niniejszej uchwały.</w:t>
      </w:r>
    </w:p>
    <w:p w14:paraId="032B769C" w14:textId="77777777" w:rsidR="00573C67" w:rsidRDefault="00573C67" w:rsidP="00573C6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571DEF8" w14:textId="77777777" w:rsidR="00573C67" w:rsidRDefault="00573C67" w:rsidP="00573C6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2. 1. Upoważnia się Prezydenta Miasta do:</w:t>
      </w:r>
    </w:p>
    <w:p w14:paraId="6C838E95" w14:textId="77777777" w:rsidR="00573C67" w:rsidRDefault="00573C67" w:rsidP="00573C6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0E01EDB5" w14:textId="77777777" w:rsidR="00573C67" w:rsidRDefault="00573C67" w:rsidP="00573C6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7B08EABA" w14:textId="77777777" w:rsidR="00573C67" w:rsidRDefault="00573C67" w:rsidP="00573C6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021E7B2" w14:textId="77777777" w:rsidR="00573C67" w:rsidRDefault="00573C67" w:rsidP="00573C6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§ 3. Wykonanie uchwały powierza się Prezydentowi Miasta.</w:t>
      </w:r>
    </w:p>
    <w:p w14:paraId="4FC25089" w14:textId="77777777" w:rsidR="00573C67" w:rsidRDefault="00573C67" w:rsidP="00573C67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C986C70" w14:textId="77777777" w:rsidR="007F799B" w:rsidRDefault="00573C67" w:rsidP="00573C67">
      <w:pPr>
        <w:spacing w:line="360" w:lineRule="auto"/>
      </w:pPr>
      <w:r>
        <w:rPr>
          <w:rFonts w:ascii="Arial" w:hAnsi="Arial" w:cs="Arial"/>
          <w:sz w:val="24"/>
          <w:szCs w:val="24"/>
        </w:rPr>
        <w:t>§ 4. Uchwała wchodzi w życie z dniem podjęcia.</w:t>
      </w:r>
    </w:p>
    <w:sectPr w:rsidR="007F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67"/>
    <w:rsid w:val="00573C67"/>
    <w:rsid w:val="007F799B"/>
    <w:rsid w:val="00C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61FA"/>
  <w15:chartTrackingRefBased/>
  <w15:docId w15:val="{F0BE0984-9F18-46A8-BBC5-BCC40A9F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C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573C6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4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Jarzębska Monika</cp:lastModifiedBy>
  <cp:revision>2</cp:revision>
  <dcterms:created xsi:type="dcterms:W3CDTF">2022-06-28T08:27:00Z</dcterms:created>
  <dcterms:modified xsi:type="dcterms:W3CDTF">2022-06-28T08:27:00Z</dcterms:modified>
</cp:coreProperties>
</file>