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1F27C" w14:textId="77777777" w:rsidR="00A77B3E" w:rsidRPr="00C8752B" w:rsidRDefault="0080217F" w:rsidP="00C8752B">
      <w:pPr>
        <w:spacing w:line="360" w:lineRule="auto"/>
        <w:jc w:val="center"/>
        <w:rPr>
          <w:rFonts w:ascii="Arial" w:hAnsi="Arial" w:cs="Arial"/>
          <w:caps/>
          <w:sz w:val="24"/>
        </w:rPr>
      </w:pPr>
      <w:r w:rsidRPr="00C8752B">
        <w:rPr>
          <w:rFonts w:ascii="Arial" w:hAnsi="Arial" w:cs="Arial"/>
          <w:caps/>
          <w:sz w:val="24"/>
        </w:rPr>
        <w:t>Uchwała Nr LI/650/22</w:t>
      </w:r>
      <w:r w:rsidRPr="00C8752B">
        <w:rPr>
          <w:rFonts w:ascii="Arial" w:hAnsi="Arial" w:cs="Arial"/>
          <w:caps/>
          <w:sz w:val="24"/>
        </w:rPr>
        <w:br/>
        <w:t>Rady Miasta Piotrkowa Trybunalskiego</w:t>
      </w:r>
    </w:p>
    <w:p w14:paraId="2B506A6C" w14:textId="77777777" w:rsidR="00A77B3E" w:rsidRPr="00C8752B" w:rsidRDefault="0080217F" w:rsidP="00C8752B">
      <w:pPr>
        <w:spacing w:before="280" w:after="280" w:line="360" w:lineRule="auto"/>
        <w:jc w:val="center"/>
        <w:rPr>
          <w:rFonts w:ascii="Arial" w:hAnsi="Arial" w:cs="Arial"/>
          <w:caps/>
          <w:sz w:val="24"/>
        </w:rPr>
      </w:pPr>
      <w:r w:rsidRPr="00C8752B">
        <w:rPr>
          <w:rFonts w:ascii="Arial" w:hAnsi="Arial" w:cs="Arial"/>
          <w:sz w:val="24"/>
        </w:rPr>
        <w:t>z dnia 25 maja 2022 r.</w:t>
      </w:r>
    </w:p>
    <w:p w14:paraId="470F6FE0" w14:textId="77777777" w:rsidR="00A77B3E" w:rsidRPr="00C8752B" w:rsidRDefault="0080217F" w:rsidP="00C8752B">
      <w:pPr>
        <w:keepNext/>
        <w:spacing w:after="480" w:line="360" w:lineRule="auto"/>
        <w:jc w:val="center"/>
        <w:rPr>
          <w:rFonts w:ascii="Arial" w:hAnsi="Arial" w:cs="Arial"/>
          <w:sz w:val="24"/>
        </w:rPr>
      </w:pPr>
      <w:r w:rsidRPr="00C8752B">
        <w:rPr>
          <w:rFonts w:ascii="Arial" w:hAnsi="Arial" w:cs="Arial"/>
          <w:sz w:val="24"/>
        </w:rPr>
        <w:t>w sprawie miejscowego planu zagospodarowania przestrzennego w rejonie ulic:</w:t>
      </w:r>
      <w:r w:rsidRPr="00C8752B">
        <w:rPr>
          <w:rFonts w:ascii="Arial" w:hAnsi="Arial" w:cs="Arial"/>
          <w:sz w:val="24"/>
        </w:rPr>
        <w:br/>
        <w:t>Pereca, Garncarskiej, Jerozolimskiej, M. Skłodowskiej – Curie i Al. Kopernika</w:t>
      </w:r>
      <w:r w:rsidRPr="00C8752B">
        <w:rPr>
          <w:rFonts w:ascii="Arial" w:hAnsi="Arial" w:cs="Arial"/>
          <w:sz w:val="24"/>
        </w:rPr>
        <w:br/>
        <w:t>w Piotrkowie Trybunalskim.</w:t>
      </w:r>
    </w:p>
    <w:p w14:paraId="3643B885" w14:textId="77777777" w:rsidR="00A77B3E" w:rsidRPr="00C8752B" w:rsidRDefault="0080217F" w:rsidP="00C8752B">
      <w:pPr>
        <w:keepLines/>
        <w:spacing w:before="120" w:after="120" w:line="360" w:lineRule="auto"/>
        <w:ind w:firstLine="227"/>
        <w:rPr>
          <w:rFonts w:ascii="Arial" w:hAnsi="Arial" w:cs="Arial"/>
          <w:sz w:val="24"/>
        </w:rPr>
      </w:pPr>
      <w:r w:rsidRPr="00C8752B">
        <w:rPr>
          <w:rFonts w:ascii="Arial" w:hAnsi="Arial" w:cs="Arial"/>
          <w:sz w:val="24"/>
        </w:rPr>
        <w:t>Na podstawie art. 20 ust. 1 i art. 29 ustawy z dnia 27 marca 2003 r. o planowaniu i zagospodarowaniu przestrzennym (tj. Dz. U. z 2022 r. poz. 503), uchwala się co następuje:</w:t>
      </w:r>
    </w:p>
    <w:p w14:paraId="5F0A9F7B" w14:textId="77777777" w:rsidR="00A77B3E" w:rsidRPr="00C8752B" w:rsidRDefault="0080217F" w:rsidP="00C8752B">
      <w:pPr>
        <w:keepNext/>
        <w:keepLines/>
        <w:spacing w:line="360" w:lineRule="auto"/>
        <w:jc w:val="center"/>
        <w:rPr>
          <w:rFonts w:ascii="Arial" w:hAnsi="Arial" w:cs="Arial"/>
          <w:sz w:val="24"/>
        </w:rPr>
      </w:pPr>
      <w:r w:rsidRPr="00C8752B">
        <w:rPr>
          <w:rFonts w:ascii="Arial" w:hAnsi="Arial" w:cs="Arial"/>
          <w:caps/>
          <w:sz w:val="24"/>
        </w:rPr>
        <w:t>Dział I.</w:t>
      </w:r>
      <w:r w:rsidRPr="00C8752B">
        <w:rPr>
          <w:rFonts w:ascii="Arial" w:hAnsi="Arial" w:cs="Arial"/>
          <w:sz w:val="24"/>
        </w:rPr>
        <w:br/>
        <w:t>POSTANOWIENIA OGÓLNE</w:t>
      </w:r>
    </w:p>
    <w:p w14:paraId="3595115E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1. 1. Stwierdza się, że miejscowy plan zagospodarowania przestrzennego w rejonie ulic: Pereca, Garncarskiej, Jerozolimskiej, M. Skłodowskiej - Curie i  Al. Kopernika w Piotrkowie Trybunalskim nie  narusza ustaleń obowiązującego „Studium uwarunkowań i  kierunków zagospodarowania przestrzennego miasta Piotrkowa Trybunalskiego” przyjętego Uchwałą Nr XLIX/837/06 Rady Miasta Piotrkowa Trybunalskiego z dnia 29 marca 2006 roku z późniejszymi zmianami, przyjętymi Uchwałą Nr XIV/297/11 Rady Miasta Piotrkowa Trybunalskiego z dnia 30 listopada 2011 r., Uchwałą Nr XXVII/359/16 z dnia 26 października 2016 r., Uchwałą Nr XLVII/566/17 z dnia 25 października 2017 r. i Uchwałą Nr XLIX/625/22 z dnia 30 marca 2022 r.</w:t>
      </w:r>
    </w:p>
    <w:p w14:paraId="32C81B44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Uchwala się miejscowy plan zagospodarowania przestrzennego w rejonie ulic: Pereca, Garncarskiej, Jerozolimskiej, M. Skłodowskiej - Curie i Al. Kopernika w Piotrkowie Trybunalskim w granicach określonych w Uchwale Nr X/155/19 Rady Miasta Piotrkowa Trybunalskiego z dnia 28 sierpnia 2019 roku.</w:t>
      </w:r>
    </w:p>
    <w:p w14:paraId="41CACA8F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3. 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Granice obszaru objętego planem wyznaczone są na rysunku planu. </w:t>
      </w:r>
    </w:p>
    <w:p w14:paraId="1BC99509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4. 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Integralną częścią Uchwały są: </w:t>
      </w:r>
    </w:p>
    <w:p w14:paraId="1F673FE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rysunek planu, stanowiący załącznik Nr 1, wykonany na kopii mapy zasadniczej w skali 1:1000 pochodzącej z państwowego zasobu geodezyjnego i kartograficznego;</w:t>
      </w:r>
    </w:p>
    <w:p w14:paraId="570A6AC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rozstrzygnięcie dotyczące sposobu rozpatrywania uwag zgłoszonych do projektu planu stanowiące załącznik Nr 2;</w:t>
      </w:r>
    </w:p>
    <w:p w14:paraId="45AE946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rozstrzygnięcie dotyczące sposobu realizacji zapisanych w planie, inwestycji z zakresu infrastruktury technicznej, które należą do zadań własnych gminy oraz zasad ich finansowania, zgodnie z przepisami ustawy o finansach publicznych, stanowiące załącznik Nr 3 do niniejszej uchwały;</w:t>
      </w:r>
    </w:p>
    <w:p w14:paraId="557F296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dane przestrzenne, stanowiące załącznik Nr 4 do niniejszej uchwały.</w:t>
      </w:r>
    </w:p>
    <w:p w14:paraId="0A6417EF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5. </w:t>
      </w:r>
      <w:r w:rsidRPr="00C8752B">
        <w:rPr>
          <w:rFonts w:ascii="Arial" w:hAnsi="Arial" w:cs="Arial"/>
          <w:color w:val="000000"/>
          <w:sz w:val="24"/>
          <w:u w:color="000000"/>
        </w:rPr>
        <w:t>Przedmiotem ustaleń planu są:</w:t>
      </w:r>
    </w:p>
    <w:p w14:paraId="3CF6D23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tereny zabudowy wielofunkcyjnej śródmiejskiej, oznaczone na rysunku planu symbolem MŚ;</w:t>
      </w:r>
    </w:p>
    <w:p w14:paraId="63EA554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teren zabudowy usługowej, oznaczony na rysunku planu symbolem U;</w:t>
      </w:r>
    </w:p>
    <w:p w14:paraId="2FD6567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tereny zieleni urządzonej, oznaczone na rysunku planu symbolem ZP;</w:t>
      </w:r>
    </w:p>
    <w:p w14:paraId="4CBFEC9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tereny dróg publicznych – zbiorczych, oznaczone na rysunku planu symbolem KDZ;</w:t>
      </w:r>
    </w:p>
    <w:p w14:paraId="79E55DF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teren drogi publicznej – lokalnej, oznaczony na rysunku planu symbolem KDL;</w:t>
      </w:r>
    </w:p>
    <w:p w14:paraId="6F537EA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tereny dróg publicznych – dojazdowych, oznaczone na rysunku planu symbolem KDD;</w:t>
      </w:r>
    </w:p>
    <w:p w14:paraId="712F0BC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7) </w:t>
      </w:r>
      <w:r w:rsidRPr="00C8752B">
        <w:rPr>
          <w:rFonts w:ascii="Arial" w:hAnsi="Arial" w:cs="Arial"/>
          <w:color w:val="000000"/>
          <w:sz w:val="24"/>
          <w:u w:color="000000"/>
        </w:rPr>
        <w:t>teren drogi wewnętrznej oznaczony na rysunku planu symbolem KDW;</w:t>
      </w:r>
    </w:p>
    <w:p w14:paraId="34E4EC2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8)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tereny ciągów pieszych oznaczone na rysunku planu symbolem </w:t>
      </w:r>
      <w:proofErr w:type="spellStart"/>
      <w:r w:rsidRPr="00C8752B">
        <w:rPr>
          <w:rFonts w:ascii="Arial" w:hAnsi="Arial" w:cs="Arial"/>
          <w:color w:val="000000"/>
          <w:sz w:val="24"/>
          <w:u w:color="000000"/>
        </w:rPr>
        <w:t>Kx</w:t>
      </w:r>
      <w:proofErr w:type="spellEnd"/>
      <w:r w:rsidRPr="00C8752B">
        <w:rPr>
          <w:rFonts w:ascii="Arial" w:hAnsi="Arial" w:cs="Arial"/>
          <w:color w:val="000000"/>
          <w:sz w:val="24"/>
          <w:u w:color="000000"/>
        </w:rPr>
        <w:t>;</w:t>
      </w:r>
    </w:p>
    <w:p w14:paraId="4D435F1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9) </w:t>
      </w:r>
      <w:r w:rsidRPr="00C8752B">
        <w:rPr>
          <w:rFonts w:ascii="Arial" w:hAnsi="Arial" w:cs="Arial"/>
          <w:color w:val="000000"/>
          <w:sz w:val="24"/>
          <w:u w:color="000000"/>
        </w:rPr>
        <w:t>teren infrastruktury technicznej - elektroenergetyka, oznaczony na rysunku planu symbolem E;</w:t>
      </w:r>
    </w:p>
    <w:p w14:paraId="2CA2E80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10) </w:t>
      </w:r>
      <w:r w:rsidRPr="00C8752B">
        <w:rPr>
          <w:rFonts w:ascii="Arial" w:hAnsi="Arial" w:cs="Arial"/>
          <w:color w:val="000000"/>
          <w:sz w:val="24"/>
          <w:u w:color="000000"/>
        </w:rPr>
        <w:t>teren wód powierzchniowych oznaczony na rysunku planu WS.</w:t>
      </w:r>
    </w:p>
    <w:p w14:paraId="00ACB1CF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2. 1. </w:t>
      </w:r>
      <w:r w:rsidRPr="00C8752B">
        <w:rPr>
          <w:rFonts w:ascii="Arial" w:hAnsi="Arial" w:cs="Arial"/>
          <w:color w:val="000000"/>
          <w:sz w:val="24"/>
          <w:u w:color="000000"/>
        </w:rPr>
        <w:t>Następujące oznaczenia graficzne na rysunku planu są obowiązującymi ustaleniami planu:</w:t>
      </w:r>
    </w:p>
    <w:p w14:paraId="7C2E146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granica obszaru objętego miejscowym planem zagospodarowania przestrzennego;</w:t>
      </w:r>
    </w:p>
    <w:p w14:paraId="0ED2D60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linie rozgraniczające tereny o różnym przeznaczeniu lub różnych zasadach zagospodarowania;</w:t>
      </w:r>
    </w:p>
    <w:p w14:paraId="496A42C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obowiązująca linia zabudowy;</w:t>
      </w:r>
    </w:p>
    <w:p w14:paraId="0C90C3E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nieprzekraczalna linia zabudowy;</w:t>
      </w:r>
    </w:p>
    <w:p w14:paraId="28B764A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miejsce zmiany rodzaju linii zabudowy;</w:t>
      </w:r>
    </w:p>
    <w:p w14:paraId="1E9E4E2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tereny zabudowy wielofunkcyjnej śródmiejskiej;</w:t>
      </w:r>
    </w:p>
    <w:p w14:paraId="3A296AC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7) </w:t>
      </w:r>
      <w:r w:rsidRPr="00C8752B">
        <w:rPr>
          <w:rFonts w:ascii="Arial" w:hAnsi="Arial" w:cs="Arial"/>
          <w:color w:val="000000"/>
          <w:sz w:val="24"/>
          <w:u w:color="000000"/>
        </w:rPr>
        <w:t>teren zabudowy usługowej;</w:t>
      </w:r>
    </w:p>
    <w:p w14:paraId="61F19BF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8) </w:t>
      </w:r>
      <w:r w:rsidRPr="00C8752B">
        <w:rPr>
          <w:rFonts w:ascii="Arial" w:hAnsi="Arial" w:cs="Arial"/>
          <w:color w:val="000000"/>
          <w:sz w:val="24"/>
          <w:u w:color="000000"/>
        </w:rPr>
        <w:t>tereny zieleni urządzonej;</w:t>
      </w:r>
    </w:p>
    <w:p w14:paraId="0CF87C5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9) </w:t>
      </w:r>
      <w:r w:rsidRPr="00C8752B">
        <w:rPr>
          <w:rFonts w:ascii="Arial" w:hAnsi="Arial" w:cs="Arial"/>
          <w:color w:val="000000"/>
          <w:sz w:val="24"/>
          <w:u w:color="000000"/>
        </w:rPr>
        <w:t>tereny dróg publicznych – dróg zbiorczych;</w:t>
      </w:r>
    </w:p>
    <w:p w14:paraId="33C6DEE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10) </w:t>
      </w:r>
      <w:r w:rsidRPr="00C8752B">
        <w:rPr>
          <w:rFonts w:ascii="Arial" w:hAnsi="Arial" w:cs="Arial"/>
          <w:color w:val="000000"/>
          <w:sz w:val="24"/>
          <w:u w:color="000000"/>
        </w:rPr>
        <w:t>teren drogi publicznej – drogi lokalnej;</w:t>
      </w:r>
    </w:p>
    <w:p w14:paraId="6F6176A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11) </w:t>
      </w:r>
      <w:r w:rsidRPr="00C8752B">
        <w:rPr>
          <w:rFonts w:ascii="Arial" w:hAnsi="Arial" w:cs="Arial"/>
          <w:color w:val="000000"/>
          <w:sz w:val="24"/>
          <w:u w:color="000000"/>
        </w:rPr>
        <w:t>tereny dróg publicznych – dróg dojazdowych;</w:t>
      </w:r>
    </w:p>
    <w:p w14:paraId="09124D8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12) </w:t>
      </w:r>
      <w:r w:rsidRPr="00C8752B">
        <w:rPr>
          <w:rFonts w:ascii="Arial" w:hAnsi="Arial" w:cs="Arial"/>
          <w:color w:val="000000"/>
          <w:sz w:val="24"/>
          <w:u w:color="000000"/>
        </w:rPr>
        <w:t>teren drogi wewnętrznej;</w:t>
      </w:r>
    </w:p>
    <w:p w14:paraId="1E35BC0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13) </w:t>
      </w:r>
      <w:r w:rsidRPr="00C8752B">
        <w:rPr>
          <w:rFonts w:ascii="Arial" w:hAnsi="Arial" w:cs="Arial"/>
          <w:color w:val="000000"/>
          <w:sz w:val="24"/>
          <w:u w:color="000000"/>
        </w:rPr>
        <w:t>tereny ciągów pieszych;</w:t>
      </w:r>
    </w:p>
    <w:p w14:paraId="0E7ABC3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14) </w:t>
      </w:r>
      <w:r w:rsidRPr="00C8752B">
        <w:rPr>
          <w:rFonts w:ascii="Arial" w:hAnsi="Arial" w:cs="Arial"/>
          <w:color w:val="000000"/>
          <w:sz w:val="24"/>
          <w:u w:color="000000"/>
        </w:rPr>
        <w:t>teren wód powierzchniowych;</w:t>
      </w:r>
    </w:p>
    <w:p w14:paraId="1593973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15) </w:t>
      </w:r>
      <w:r w:rsidRPr="00C8752B">
        <w:rPr>
          <w:rFonts w:ascii="Arial" w:hAnsi="Arial" w:cs="Arial"/>
          <w:color w:val="000000"/>
          <w:sz w:val="24"/>
          <w:u w:color="000000"/>
        </w:rPr>
        <w:t>teren infrastruktury technicznej - elektroenergetyka;</w:t>
      </w:r>
    </w:p>
    <w:p w14:paraId="5A1D283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16) </w:t>
      </w:r>
      <w:r w:rsidRPr="00C8752B">
        <w:rPr>
          <w:rFonts w:ascii="Arial" w:hAnsi="Arial" w:cs="Arial"/>
          <w:color w:val="000000"/>
          <w:sz w:val="24"/>
          <w:u w:color="000000"/>
        </w:rPr>
        <w:t>strefa ochrony konserwatorskiej „B”;</w:t>
      </w:r>
    </w:p>
    <w:p w14:paraId="2B9DB7C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17) </w:t>
      </w:r>
      <w:r w:rsidRPr="00C8752B">
        <w:rPr>
          <w:rFonts w:ascii="Arial" w:hAnsi="Arial" w:cs="Arial"/>
          <w:color w:val="000000"/>
          <w:sz w:val="24"/>
          <w:u w:color="000000"/>
        </w:rPr>
        <w:t>strefa obserwacji archeologicznej ”OW”;</w:t>
      </w:r>
    </w:p>
    <w:p w14:paraId="5C9F29C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18) </w:t>
      </w:r>
      <w:r w:rsidRPr="00C8752B">
        <w:rPr>
          <w:rFonts w:ascii="Arial" w:hAnsi="Arial" w:cs="Arial"/>
          <w:color w:val="000000"/>
          <w:sz w:val="24"/>
          <w:u w:color="000000"/>
        </w:rPr>
        <w:t>obiekt objęty ochroną w planie - wpisany do gminnej ewidencji zabytków;</w:t>
      </w:r>
    </w:p>
    <w:p w14:paraId="61136A4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19) </w:t>
      </w:r>
      <w:r w:rsidRPr="00C8752B">
        <w:rPr>
          <w:rFonts w:ascii="Arial" w:hAnsi="Arial" w:cs="Arial"/>
          <w:color w:val="000000"/>
          <w:sz w:val="24"/>
          <w:u w:color="000000"/>
        </w:rPr>
        <w:t>strefa ograniczonego użytkowania od ciepłociągu.</w:t>
      </w:r>
    </w:p>
    <w:p w14:paraId="40E0E03D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Następujące oznaczenia graficzne na rysunku planu są oznaczeniami informacyjnymi:</w:t>
      </w:r>
    </w:p>
    <w:p w14:paraId="0E0751B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granice i numery ewidencyjne działek.</w:t>
      </w:r>
    </w:p>
    <w:p w14:paraId="49D68CE2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3. 1. </w:t>
      </w:r>
      <w:r w:rsidRPr="00C8752B">
        <w:rPr>
          <w:rFonts w:ascii="Arial" w:hAnsi="Arial" w:cs="Arial"/>
          <w:color w:val="000000"/>
          <w:sz w:val="24"/>
          <w:u w:color="000000"/>
        </w:rPr>
        <w:t>Ilekroć w dalszych przepisach niniejszej Uchwały jest mowa o:</w:t>
      </w:r>
    </w:p>
    <w:p w14:paraId="46E784C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linii rozgraniczającej – należy przez to rozumieć oznaczoną na rysunku planu linię ciągłą, dzielącą obszar planu na tereny o różnym przeznaczeniu lub różnych zasadach zagospodarowania;</w:t>
      </w:r>
    </w:p>
    <w:p w14:paraId="3ADEB05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obowiązującej linii zabudowy - należy przez to rozumieć lin</w:t>
      </w:r>
      <w:r w:rsidR="00C8752B">
        <w:rPr>
          <w:rFonts w:ascii="Arial" w:hAnsi="Arial" w:cs="Arial"/>
          <w:color w:val="000000"/>
          <w:sz w:val="24"/>
          <w:u w:color="000000"/>
        </w:rPr>
        <w:t xml:space="preserve">ię graniczną sytuowania nowych </w:t>
      </w:r>
      <w:r w:rsidRPr="00C8752B">
        <w:rPr>
          <w:rFonts w:ascii="Arial" w:hAnsi="Arial" w:cs="Arial"/>
          <w:color w:val="000000"/>
          <w:sz w:val="24"/>
          <w:u w:color="000000"/>
        </w:rPr>
        <w:t>i rozbudowywanych budynków, względem której należy sytuować</w:t>
      </w:r>
      <w:r w:rsidR="00C8752B">
        <w:rPr>
          <w:rFonts w:ascii="Arial" w:hAnsi="Arial" w:cs="Arial"/>
          <w:color w:val="000000"/>
          <w:sz w:val="24"/>
          <w:u w:color="000000"/>
        </w:rPr>
        <w:t xml:space="preserve"> budynki w następujący sposób: </w:t>
      </w:r>
      <w:r w:rsidRPr="00C8752B">
        <w:rPr>
          <w:rFonts w:ascii="Arial" w:hAnsi="Arial" w:cs="Arial"/>
          <w:color w:val="000000"/>
          <w:sz w:val="24"/>
          <w:u w:color="000000"/>
        </w:rPr>
        <w:t>w płaszczyźnie pionowej wyznaczonej przez tę linię musi się znaleźć nie mniej niż 70% powierzchni ścian widocznych w elewacji (w rysunku architektoniczno-budowlanym) bez przekraczania tej linii w kierunku linii rozgraniczającej drogi lub innych przestrzeni publicznych (nie dotyczy to takich elementów architektonicznych budynku jak: balkon, schody, niezadaszony taras, gzyms, okap dachu, rynna, rura spustowa, podokienniki oraz innych elementów architektonicznych na trwale związanych z konstrukcją i funkcją budynku);</w:t>
      </w:r>
    </w:p>
    <w:p w14:paraId="0C20143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nieprzekraczalnej linii zabudowy – należy przez to rozumieć lin</w:t>
      </w:r>
      <w:r w:rsidR="00C8752B">
        <w:rPr>
          <w:rFonts w:ascii="Arial" w:hAnsi="Arial" w:cs="Arial"/>
          <w:color w:val="000000"/>
          <w:sz w:val="24"/>
          <w:u w:color="000000"/>
        </w:rPr>
        <w:t xml:space="preserve">ię graniczną sytuowania nowych 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i rozbudowywanych budynków, w której może być umieszczona ściana budynku, bez jej przekraczania w kierunku linii rozgraniczającej drogi lub innych przestrzeni publicznych (nie dotyczy to takich elementów architektonicznych budynku jak: balkon, </w:t>
      </w:r>
      <w:r w:rsidRPr="00C8752B">
        <w:rPr>
          <w:rFonts w:ascii="Arial" w:hAnsi="Arial" w:cs="Arial"/>
          <w:color w:val="000000"/>
          <w:sz w:val="24"/>
          <w:u w:color="000000"/>
        </w:rPr>
        <w:lastRenderedPageBreak/>
        <w:t>schody, niezadaszony taras, gzyms, okap dachu, rynna, rura spustowa, podokienniki oraz innych elementów architektonicznych na trwale związanych z konstrukcją i funkcją budynku);</w:t>
      </w:r>
    </w:p>
    <w:p w14:paraId="45B31E5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powierzchni zabudowy – należy przez to rozumieć powierzchnię działki budowlanej zajętą przez rzuty pionowe zewnętrznych krawędzi wszystkich budynków, wiat na powierzchnię tej działki;</w:t>
      </w:r>
    </w:p>
    <w:p w14:paraId="03A01CE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przepisach odrębnych i szczególnych – należy przez to rozumieć ob</w:t>
      </w:r>
      <w:r w:rsidR="00C8752B">
        <w:rPr>
          <w:rFonts w:ascii="Arial" w:hAnsi="Arial" w:cs="Arial"/>
          <w:color w:val="000000"/>
          <w:sz w:val="24"/>
          <w:u w:color="000000"/>
        </w:rPr>
        <w:t xml:space="preserve">owiązujące przepisy ustaw wraz </w:t>
      </w:r>
      <w:r w:rsidRPr="00C8752B">
        <w:rPr>
          <w:rFonts w:ascii="Arial" w:hAnsi="Arial" w:cs="Arial"/>
          <w:color w:val="000000"/>
          <w:sz w:val="24"/>
          <w:u w:color="000000"/>
        </w:rPr>
        <w:t>z aktami wykonawczymi oraz prawomocne decyzje administracyjne ograniczające prawo dysponowania terenem;</w:t>
      </w:r>
    </w:p>
    <w:p w14:paraId="30821C0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rysunku planu – należy przez to rozumieć opracowanie graficzne sporządzone na mapie, w skali 1:1000;</w:t>
      </w:r>
    </w:p>
    <w:p w14:paraId="0A79AB9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7) </w:t>
      </w:r>
      <w:r w:rsidRPr="00C8752B">
        <w:rPr>
          <w:rFonts w:ascii="Arial" w:hAnsi="Arial" w:cs="Arial"/>
          <w:color w:val="000000"/>
          <w:sz w:val="24"/>
          <w:u w:color="000000"/>
        </w:rPr>
        <w:t>studium – należy przez to rozumieć „Studium uwarunkowań i kierunków zagospodarowania przestrzennego Miasta Piotrkowa Trybunalskiego”;</w:t>
      </w:r>
    </w:p>
    <w:p w14:paraId="78B83CB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8)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terenie – należy przez to rozumieć teren o określonym rodzaju przeznaczenia i zasadach zagospodarowania, wyznaczony na rysunku planu liniami rozgraniczającymi tereny o różnym przeznaczeniu lub różnych zasadach zagospodarowania oraz oznaczony symbolami cyfrowymi i literowymi, w których cyfry oznaczają kolejny numer terenu, a litery jego przeznaczenie; </w:t>
      </w:r>
    </w:p>
    <w:p w14:paraId="4EFDD3D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9) </w:t>
      </w:r>
      <w:r w:rsidRPr="00C8752B">
        <w:rPr>
          <w:rFonts w:ascii="Arial" w:hAnsi="Arial" w:cs="Arial"/>
          <w:color w:val="000000"/>
          <w:sz w:val="24"/>
          <w:u w:color="000000"/>
        </w:rPr>
        <w:t>strefie ochrony konserwatorskiej „B”- należy przez to rozumieć granicę strefy ochrony konserwatorskiej "B", obejmującej tereny położone poza obrębem miasta średniowiecznego, zawierające historyczny układ komunikacyjny, zespoły zabudowy zabytkowej i tradycyjnej reprezentatywnej dla różnych etapów rozwoju miasta oraz tereny komponowanej zieleni;</w:t>
      </w:r>
    </w:p>
    <w:p w14:paraId="7AB4516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10) </w:t>
      </w:r>
      <w:r w:rsidRPr="00C8752B">
        <w:rPr>
          <w:rFonts w:ascii="Arial" w:hAnsi="Arial" w:cs="Arial"/>
          <w:color w:val="000000"/>
          <w:sz w:val="24"/>
          <w:u w:color="000000"/>
        </w:rPr>
        <w:t>strefie obserwacji archeologicznej „OW”- należy przez to rozumieć granicę strefy obserwacji archeologicznej, gdzie występują znaczne skupiska stanowisk archeologicznych;</w:t>
      </w:r>
    </w:p>
    <w:p w14:paraId="72A3605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11) </w:t>
      </w:r>
      <w:r w:rsidRPr="00C8752B">
        <w:rPr>
          <w:rFonts w:ascii="Arial" w:hAnsi="Arial" w:cs="Arial"/>
          <w:color w:val="000000"/>
          <w:sz w:val="24"/>
          <w:u w:color="000000"/>
        </w:rPr>
        <w:t>wskaźniku intensywności zabudowy – należy przez to rozumieć stosunek sumy powierzchni całkowitych (wszystkich kondygnacji nadziemnych) wszystkich budynków położonych na działce budowlanej do powierzchni działki budowlanej;</w:t>
      </w:r>
    </w:p>
    <w:p w14:paraId="00B2C7F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12) </w:t>
      </w:r>
      <w:r w:rsidRPr="00C8752B">
        <w:rPr>
          <w:rFonts w:ascii="Arial" w:hAnsi="Arial" w:cs="Arial"/>
          <w:color w:val="000000"/>
          <w:sz w:val="24"/>
          <w:u w:color="000000"/>
        </w:rPr>
        <w:t>wskaźniku powierzchni zabudowy – należy przez to rozumieć parametr procentowy wyrażający stosunek powierzchni zabudowy do powierzchni działki budowlanej;</w:t>
      </w:r>
    </w:p>
    <w:p w14:paraId="65AEF02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13) </w:t>
      </w:r>
      <w:r w:rsidRPr="00C8752B">
        <w:rPr>
          <w:rFonts w:ascii="Arial" w:hAnsi="Arial" w:cs="Arial"/>
          <w:color w:val="000000"/>
          <w:sz w:val="24"/>
          <w:u w:color="000000"/>
        </w:rPr>
        <w:t>wskaźniku powierzchni biologicznie czynnej – należy przez to rozumieć procentowy udział terenu biologicznie czynnego w stosunku do powierzchni działki budowlanej;</w:t>
      </w:r>
    </w:p>
    <w:p w14:paraId="0340E23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14) </w:t>
      </w:r>
      <w:r w:rsidRPr="00C8752B">
        <w:rPr>
          <w:rFonts w:ascii="Arial" w:hAnsi="Arial" w:cs="Arial"/>
          <w:color w:val="000000"/>
          <w:sz w:val="24"/>
          <w:u w:color="000000"/>
        </w:rPr>
        <w:t>wysokości zabudowy – należy przez to rozumieć ustalony w planie nieprzekraczalny pionowy wymiar obiektów budowlanych, liczony od poziomu terenu do najwyższego punktu pokrycia dachu lub zwieńczenia jego bryły bez kominów i elementów urządzeń technicznych, przy czym wysokość kominów i elementów urządzeń technicznych nie może przekraczać 1,5 m mierząc od maksymalnej wysokości zabudowy;</w:t>
      </w:r>
    </w:p>
    <w:p w14:paraId="6B3229B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15) </w:t>
      </w:r>
      <w:r w:rsidRPr="00C8752B">
        <w:rPr>
          <w:rFonts w:ascii="Arial" w:hAnsi="Arial" w:cs="Arial"/>
          <w:color w:val="000000"/>
          <w:sz w:val="24"/>
          <w:u w:color="000000"/>
        </w:rPr>
        <w:t>elewacji frontowej – należy przez to rozumieć elewacje (w tym narożne), usytuowane w obowiązującej linii zabudowy lub zgodnie z nieprzekraczalnymi liniami zabudowy od strony dróg publicznych i innych przestrzeni publicznych, o których mowa w § 5 ust. 4;</w:t>
      </w:r>
    </w:p>
    <w:p w14:paraId="7E767ED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16) </w:t>
      </w:r>
      <w:r w:rsidRPr="00C8752B">
        <w:rPr>
          <w:rFonts w:ascii="Arial" w:hAnsi="Arial" w:cs="Arial"/>
          <w:color w:val="000000"/>
          <w:sz w:val="24"/>
          <w:u w:color="000000"/>
        </w:rPr>
        <w:t>wysokości elewacji frontowej – należy przez to rozumieć wymiar pionowy mierzony od poziomu terenu do ostatniego gzymsu, okapu, attyki;</w:t>
      </w:r>
    </w:p>
    <w:p w14:paraId="22ECBB2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17) </w:t>
      </w:r>
      <w:r w:rsidRPr="00C8752B">
        <w:rPr>
          <w:rFonts w:ascii="Arial" w:hAnsi="Arial" w:cs="Arial"/>
          <w:color w:val="000000"/>
          <w:sz w:val="24"/>
          <w:u w:color="000000"/>
        </w:rPr>
        <w:t>zabudowie wielofunkcyjnej śródmiejskiej – należy przez to rozumieć zabudowę mieszkaniową lub usługową z możliwością łączenia tych funkcji;</w:t>
      </w:r>
    </w:p>
    <w:p w14:paraId="6ED5625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18) </w:t>
      </w:r>
      <w:r w:rsidRPr="00C8752B">
        <w:rPr>
          <w:rFonts w:ascii="Arial" w:hAnsi="Arial" w:cs="Arial"/>
          <w:color w:val="000000"/>
          <w:sz w:val="24"/>
          <w:u w:color="000000"/>
        </w:rPr>
        <w:t>zabudowie frontowej – należy przez to rozumieć zabudowę, dla której obowiązuje umieszczenie elewacji frontowej zgodnie z obowiązującymi liniami zabudowy z dopuszczeniem lokalizacji ścian szczytowych bezpośrednio w granicy z działką sąsiednią zgodnie z ustaleniami dla poszczególnych terenów;</w:t>
      </w:r>
    </w:p>
    <w:p w14:paraId="0B29CDB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19) </w:t>
      </w:r>
      <w:r w:rsidRPr="00C8752B">
        <w:rPr>
          <w:rFonts w:ascii="Arial" w:hAnsi="Arial" w:cs="Arial"/>
          <w:color w:val="000000"/>
          <w:sz w:val="24"/>
          <w:u w:color="000000"/>
        </w:rPr>
        <w:t>zabudowie oficynowej – należy przez to rozumieć budynki lub boczne i tylne części kubaturowe budynku frontowego usytuowane poza zabudową frontową z dopuszczeniem lokalizacji bezpośrednio w granicy z działką sąsiednią;</w:t>
      </w:r>
    </w:p>
    <w:p w14:paraId="5DC69F8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20)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powierzchni usługowej – należy przez to rozumieć powierzchnię usługową stanowiącą całość </w:t>
      </w:r>
      <w:proofErr w:type="spellStart"/>
      <w:r w:rsidRPr="00C8752B">
        <w:rPr>
          <w:rFonts w:ascii="Arial" w:hAnsi="Arial" w:cs="Arial"/>
          <w:color w:val="000000"/>
          <w:sz w:val="24"/>
          <w:u w:color="000000"/>
        </w:rPr>
        <w:t>architektoniczno</w:t>
      </w:r>
      <w:proofErr w:type="spellEnd"/>
      <w:r w:rsidRPr="00C8752B">
        <w:rPr>
          <w:rFonts w:ascii="Arial" w:hAnsi="Arial" w:cs="Arial"/>
          <w:color w:val="000000"/>
          <w:sz w:val="24"/>
          <w:u w:color="000000"/>
        </w:rPr>
        <w:t xml:space="preserve"> - użytkową, związaną z tą funkcją (bez wliczania do niej powierzchni pomocniczej);</w:t>
      </w:r>
    </w:p>
    <w:p w14:paraId="27E1FB8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21) </w:t>
      </w:r>
      <w:r w:rsidRPr="00C8752B">
        <w:rPr>
          <w:rFonts w:ascii="Arial" w:hAnsi="Arial" w:cs="Arial"/>
          <w:color w:val="000000"/>
          <w:sz w:val="24"/>
          <w:u w:color="000000"/>
        </w:rPr>
        <w:t>dominancie przestrzennej – należy przez to rozumieć element przestrzeni o niezakłóconej ekspozycji; obiekt budowlany (grupa obiektów) wyraźnie odróżniający się od otaczającej zabudowy formą lub gabarytami, posiadający czytelną i zasadniczą wartość kompozycyjną lub estetyczną.</w:t>
      </w:r>
    </w:p>
    <w:p w14:paraId="237AE71F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4. 1. </w:t>
      </w:r>
      <w:r w:rsidRPr="00C8752B">
        <w:rPr>
          <w:rFonts w:ascii="Arial" w:hAnsi="Arial" w:cs="Arial"/>
          <w:color w:val="000000"/>
          <w:sz w:val="24"/>
          <w:u w:color="000000"/>
        </w:rPr>
        <w:t>Dla obszaru, o którym mowa w §1, plan ustala:</w:t>
      </w:r>
    </w:p>
    <w:p w14:paraId="3D0166E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przeznaczenie terenów oraz linie rozgraniczające tereny o różnym przeznaczeniu lub różnych zasadach zagospodarowania;</w:t>
      </w:r>
    </w:p>
    <w:p w14:paraId="79D49EA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zasady ochrony i kształtowania ładu przestrzennego;</w:t>
      </w:r>
    </w:p>
    <w:p w14:paraId="6CD843F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zasady ochrony środowiska, przyrody i krajobrazu kulturowego;</w:t>
      </w:r>
    </w:p>
    <w:p w14:paraId="3FB5258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zasady ochrony dziedzictwa kulturowego i zabytków oraz dóbr kultury współczesnej;</w:t>
      </w:r>
    </w:p>
    <w:p w14:paraId="236DF6E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wymagań wynikających z potrzeb kształtowania przestrzeni publicznych;</w:t>
      </w:r>
    </w:p>
    <w:p w14:paraId="4CA4BDC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zasady kształtowania zabudowy oraz wskaźniki zagospodarowania terenu:</w:t>
      </w:r>
    </w:p>
    <w:p w14:paraId="67104870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maksymalną i minimalną intensywność zabudowy, jako wskaźnik powierzchni całkowitej </w:t>
      </w:r>
      <w:proofErr w:type="spellStart"/>
      <w:r w:rsidR="00C8752B">
        <w:rPr>
          <w:rFonts w:ascii="Arial" w:hAnsi="Arial" w:cs="Arial"/>
          <w:color w:val="000000"/>
          <w:sz w:val="24"/>
          <w:u w:color="000000"/>
        </w:rPr>
        <w:t>zabudowy</w:t>
      </w:r>
      <w:r w:rsidRPr="00C8752B">
        <w:rPr>
          <w:rFonts w:ascii="Arial" w:hAnsi="Arial" w:cs="Arial"/>
          <w:color w:val="000000"/>
          <w:sz w:val="24"/>
          <w:u w:color="000000"/>
        </w:rPr>
        <w:t>w</w:t>
      </w:r>
      <w:proofErr w:type="spellEnd"/>
      <w:r w:rsidRPr="00C8752B">
        <w:rPr>
          <w:rFonts w:ascii="Arial" w:hAnsi="Arial" w:cs="Arial"/>
          <w:color w:val="000000"/>
          <w:sz w:val="24"/>
          <w:u w:color="000000"/>
        </w:rPr>
        <w:t xml:space="preserve"> odniesieniu do powierzchni działki budowlanej,</w:t>
      </w:r>
    </w:p>
    <w:p w14:paraId="76B7DAC8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minimalny udział procentowy powierzchni biologicznie czynnej w odniesieniu do powierzchni działki budowlanej,</w:t>
      </w:r>
    </w:p>
    <w:p w14:paraId="065132A8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maksymalną wysokość zabudowy,</w:t>
      </w:r>
    </w:p>
    <w:p w14:paraId="7410FE37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d) </w:t>
      </w:r>
      <w:r w:rsidRPr="00C8752B">
        <w:rPr>
          <w:rFonts w:ascii="Arial" w:hAnsi="Arial" w:cs="Arial"/>
          <w:color w:val="000000"/>
          <w:sz w:val="24"/>
          <w:u w:color="000000"/>
        </w:rPr>
        <w:t>minimalną liczbę miejsc do parkowania i sposób ich realizacji,</w:t>
      </w:r>
    </w:p>
    <w:p w14:paraId="4AF5841C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e) </w:t>
      </w:r>
      <w:r w:rsidRPr="00C8752B">
        <w:rPr>
          <w:rFonts w:ascii="Arial" w:hAnsi="Arial" w:cs="Arial"/>
          <w:color w:val="000000"/>
          <w:sz w:val="24"/>
          <w:u w:color="000000"/>
        </w:rPr>
        <w:t>linie zabudowy i gabaryty obiektów;</w:t>
      </w:r>
    </w:p>
    <w:p w14:paraId="47D9F10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7) </w:t>
      </w:r>
      <w:r w:rsidRPr="00C8752B">
        <w:rPr>
          <w:rFonts w:ascii="Arial" w:hAnsi="Arial" w:cs="Arial"/>
          <w:color w:val="000000"/>
          <w:sz w:val="24"/>
          <w:u w:color="000000"/>
        </w:rPr>
        <w:t>szczegółowe zasady i warunki scalenia i podziału nieruchomości objętych planem;</w:t>
      </w:r>
    </w:p>
    <w:p w14:paraId="0F005EA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8) </w:t>
      </w:r>
      <w:r w:rsidRPr="00C8752B">
        <w:rPr>
          <w:rFonts w:ascii="Arial" w:hAnsi="Arial" w:cs="Arial"/>
          <w:color w:val="000000"/>
          <w:sz w:val="24"/>
          <w:u w:color="000000"/>
        </w:rPr>
        <w:t>szczególne warunki zagospodarowania terenów oraz ograniczenia w ich użytkowaniu, w tym zakazy zabudowy;</w:t>
      </w:r>
    </w:p>
    <w:p w14:paraId="1C3B0C1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9) </w:t>
      </w:r>
      <w:r w:rsidRPr="00C8752B">
        <w:rPr>
          <w:rFonts w:ascii="Arial" w:hAnsi="Arial" w:cs="Arial"/>
          <w:color w:val="000000"/>
          <w:sz w:val="24"/>
          <w:u w:color="000000"/>
        </w:rPr>
        <w:t>zasady modernizacji, rozbudowy i budowy systemów komunikacji i infrastruktury technicznej;</w:t>
      </w:r>
    </w:p>
    <w:p w14:paraId="204BEB1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10) </w:t>
      </w:r>
      <w:r w:rsidRPr="00C8752B">
        <w:rPr>
          <w:rFonts w:ascii="Arial" w:hAnsi="Arial" w:cs="Arial"/>
          <w:color w:val="000000"/>
          <w:sz w:val="24"/>
          <w:u w:color="000000"/>
        </w:rPr>
        <w:t>sposoby i terminy tymczasowego zagospodarowania, urządzania i użytkowania terenów;</w:t>
      </w:r>
    </w:p>
    <w:p w14:paraId="1B87445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11) </w:t>
      </w:r>
      <w:r w:rsidRPr="00C8752B">
        <w:rPr>
          <w:rFonts w:ascii="Arial" w:hAnsi="Arial" w:cs="Arial"/>
          <w:color w:val="000000"/>
          <w:sz w:val="24"/>
          <w:u w:color="000000"/>
        </w:rPr>
        <w:t>wysokość jednorazowej opłaty określonej w stosunku procentowym do wzrostu wartości nieruchomości - renta planistyczna;</w:t>
      </w:r>
    </w:p>
    <w:p w14:paraId="2F55E67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12) </w:t>
      </w:r>
      <w:r w:rsidRPr="00C8752B">
        <w:rPr>
          <w:rFonts w:ascii="Arial" w:hAnsi="Arial" w:cs="Arial"/>
          <w:color w:val="000000"/>
          <w:sz w:val="24"/>
          <w:u w:color="000000"/>
        </w:rPr>
        <w:t>sposób usytuowania obiektów budowlanych w stosunku do dróg i innych terenów publicznie dostępnych oraz do granic przyległych nieruchomości, pokrycie dachów.</w:t>
      </w:r>
    </w:p>
    <w:p w14:paraId="0D7859A7" w14:textId="77777777" w:rsidR="00A77B3E" w:rsidRPr="00C8752B" w:rsidRDefault="0080217F" w:rsidP="00C8752B">
      <w:pPr>
        <w:keepNext/>
        <w:spacing w:line="360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caps/>
          <w:sz w:val="24"/>
        </w:rPr>
        <w:t>Dział II.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USTALENIA OGÓLNE DLA CAŁEGO OBSZARU OBJĘTEGO PLANEM</w:t>
      </w:r>
    </w:p>
    <w:p w14:paraId="5D140208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5. 1. </w:t>
      </w:r>
      <w:r w:rsidRPr="00C8752B">
        <w:rPr>
          <w:rFonts w:ascii="Arial" w:hAnsi="Arial" w:cs="Arial"/>
          <w:color w:val="000000"/>
          <w:sz w:val="24"/>
          <w:u w:color="000000"/>
        </w:rPr>
        <w:t>Zasady ochrony i kształtowania ładu przestrzennego:</w:t>
      </w:r>
    </w:p>
    <w:p w14:paraId="639EC6B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przy rozbudowie, nadbudowie, przebudowie i zmianie sposobu użytkowania obiektów budowlanych obowiązują ustalenia szczegółowe dla poszczególnych terenów;</w:t>
      </w:r>
    </w:p>
    <w:p w14:paraId="5D3B5F0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jednokondygnacyjnych garaży i zespołów tych budynków jako jedynego sposobu zagospodarowania działki budowlanej;</w:t>
      </w:r>
    </w:p>
    <w:p w14:paraId="49BA9BD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budynków gospodarczych i zespołów tych budynków jako jedynego sposobu zagospodarowania działki budowlanej;</w:t>
      </w:r>
    </w:p>
    <w:p w14:paraId="16F9555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budynków gospodarczych i garażowych o konstrukcji blaszanej;</w:t>
      </w:r>
    </w:p>
    <w:p w14:paraId="764B69A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zakaz umieszczania na elewacjach frontowych elementów technicznego wyposażenia budynków takich jak klimatyzatory, anteny, przewody kominowe itp.;</w:t>
      </w:r>
    </w:p>
    <w:p w14:paraId="462037D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przekroczenia linii rozgraniczającej z terenem przestrzeni publicznej o 1,2 m wyłącznie takimi elementami budynku jak: balkon, wykusz, gzyms, attyka, rynna, rura spustowa, podokienniki oraz innych elementów architektonicznych na trwale związanych z konstrukcją i funkcją budynku;</w:t>
      </w:r>
    </w:p>
    <w:p w14:paraId="5D0AA10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stosowania okapów jako zakończenia połaci dachowych budynków w obowiązującej linii zabudowy.</w:t>
      </w:r>
    </w:p>
    <w:p w14:paraId="7BD12BD0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Zasady ochrony środowiska, przyrody i krajobrazu kulturowego:</w:t>
      </w:r>
    </w:p>
    <w:p w14:paraId="228ABE5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nakaz stosowania rozwiązań przestrzennych i technicznych zapewniających zachowanie odpowiednich standardów środowiskowych przestrzeni zamieszkania, od</w:t>
      </w:r>
      <w:r w:rsidR="00C8752B">
        <w:rPr>
          <w:rFonts w:ascii="Arial" w:hAnsi="Arial" w:cs="Arial"/>
          <w:color w:val="000000"/>
          <w:sz w:val="24"/>
          <w:u w:color="000000"/>
        </w:rPr>
        <w:t xml:space="preserve">powiadającym wymogom określonym </w:t>
      </w:r>
      <w:r w:rsidRPr="00C8752B">
        <w:rPr>
          <w:rFonts w:ascii="Arial" w:hAnsi="Arial" w:cs="Arial"/>
          <w:color w:val="000000"/>
          <w:sz w:val="24"/>
          <w:u w:color="000000"/>
        </w:rPr>
        <w:t>w przepisach odrębnych;</w:t>
      </w:r>
    </w:p>
    <w:p w14:paraId="3FB4686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zakaz realizacji przedsięwzięć mogących zawsze znacząco i potencjalnie znacząco oddziaływać na środowisko, z wyjątkiem: inwestycji celu publicznego z zakresu telekomunikacji, infrastruktury technicznej i drogowej;</w:t>
      </w:r>
    </w:p>
    <w:p w14:paraId="0716AAC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obowiązek zachowania poziomu hałasu w środowisku określonego w obowiązujących przepisach o ochronie środowiska:</w:t>
      </w:r>
    </w:p>
    <w:p w14:paraId="0BA2B9AA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w terenach MŚ – jak dla terenów zabudowy mieszkaniowej wielorodzinnej i zamieszkania zbiorowego,</w:t>
      </w:r>
    </w:p>
    <w:p w14:paraId="7CB95DA9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pozostałe tereny nie są normowane akustycznie;</w:t>
      </w:r>
    </w:p>
    <w:p w14:paraId="6E4B115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w granicach opracowania przez teren oznaczony 1WS, przebiega rzeka Strawa, dla której ustala się:</w:t>
      </w:r>
    </w:p>
    <w:p w14:paraId="50E5BEBA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zakaz przekrywania istniejącego odkrytego koryta rzeki Strawy,</w:t>
      </w:r>
    </w:p>
    <w:p w14:paraId="18D2CA5A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w przypadku remontu, przebudowy rzeki Strawy obowiązuje realizacja wg jednolitej koncepcji dla całego przebiegu w granicach opracowania planu.</w:t>
      </w:r>
    </w:p>
    <w:p w14:paraId="69A99DEF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3. </w:t>
      </w:r>
      <w:r w:rsidRPr="00C8752B">
        <w:rPr>
          <w:rFonts w:ascii="Arial" w:hAnsi="Arial" w:cs="Arial"/>
          <w:color w:val="000000"/>
          <w:sz w:val="24"/>
          <w:u w:color="000000"/>
        </w:rPr>
        <w:t>Zasady ochrony dziedzictwa kulturowego i zabytków w tym krajobrazów kulturowych oraz dóbr kultury współczesnej:</w:t>
      </w:r>
    </w:p>
    <w:p w14:paraId="2B1CBF5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wskazuje się, że obszar w granicach planu miejscowego znajduje się w układzie urbanistycznym śródmieścia Piotrkowa Trybunalskiego - wpisanym do rejestru zabytków (Dec. KL.IV-680/482/67 z dnia 14.09.1967 roku). Na obszarze zabytkowego układu, należy postępować zgodnie z przepisami odrębnymi z zakresu ochrony zabytku;</w:t>
      </w:r>
    </w:p>
    <w:p w14:paraId="08E5BE4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ochronę obiektu wpisanego do gminnej ewidencji zabytków (kamienica przy ul. Garncarskiej 21), poprzez stosowanie zapisów planu i z zachowaniem poniższych warunków:</w:t>
      </w:r>
    </w:p>
    <w:p w14:paraId="70C0A64B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stosowania zewnętrznej termoizolacji budynku w sposób powodujący zatarcie cech historycznych,</w:t>
      </w:r>
    </w:p>
    <w:p w14:paraId="29B86D8E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realizację skrzynek przyłączy infrastruktury technicznej na elewacjach, pod warunkiem wbudowania w ścianę oraz wykonania części skrzynek widocznej z zewnątrz w barwie elewacji, w które są wbudowane,</w:t>
      </w:r>
    </w:p>
    <w:p w14:paraId="234FA00D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stosowania: parapetów, rynien i rur spustowych z PCV,</w:t>
      </w:r>
    </w:p>
    <w:p w14:paraId="40BBE6CB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d)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stosowania elementów wykończeniowych kolidujących z cechami historycznymi zabytku,</w:t>
      </w:r>
    </w:p>
    <w:p w14:paraId="0391CBF2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e)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stosowanie stolarki lub ślusarki zgodnej z cechami historycznymi zabytku,</w:t>
      </w:r>
    </w:p>
    <w:p w14:paraId="0B49C05C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f)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montaż urządzeń i pochylni dla niepełnosprawnych w sposób nie kolidujący z cechami historycznymi zabytku;</w:t>
      </w:r>
    </w:p>
    <w:p w14:paraId="27653AC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na obszarze objętym niniejszym planem ustala się strefę ochrony konserwatorskiej „B”, zgodnie z rysunkiem planu:</w:t>
      </w:r>
    </w:p>
    <w:p w14:paraId="718D98D8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na terenach 1MŚ, 5MŚ ustala się obowiązek zaakcentowania</w:t>
      </w:r>
      <w:r w:rsidR="00C8752B">
        <w:rPr>
          <w:rFonts w:ascii="Arial" w:hAnsi="Arial" w:cs="Arial"/>
          <w:color w:val="000000"/>
          <w:sz w:val="24"/>
          <w:u w:color="000000"/>
        </w:rPr>
        <w:t xml:space="preserve"> podziałów geodezyjnych terenu, </w:t>
      </w:r>
      <w:r w:rsidRPr="00C8752B">
        <w:rPr>
          <w:rFonts w:ascii="Arial" w:hAnsi="Arial" w:cs="Arial"/>
          <w:color w:val="000000"/>
          <w:sz w:val="24"/>
          <w:u w:color="000000"/>
        </w:rPr>
        <w:t>w kompozycji elewacji frontowych budynków lokalizowanych w obowiązującej linii zabudowy,</w:t>
      </w:r>
    </w:p>
    <w:p w14:paraId="602D9685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realizacji monolitycznych nawierzchni betonowych lub asfaltowych w podwórzach,</w:t>
      </w:r>
    </w:p>
    <w:p w14:paraId="4FF4567D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na terenach 1KDL, 1KDD, 2KDD, 3 KDD, 1Kx ustala się obowiązek układu zieleni ulicznej w formie szpalerów;</w:t>
      </w:r>
    </w:p>
    <w:p w14:paraId="6BA6E20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wskazuje się, że obszar w granicach planu miejscowego znajduje się w strefie oc</w:t>
      </w:r>
      <w:r w:rsidR="00C8752B">
        <w:rPr>
          <w:rFonts w:ascii="Arial" w:hAnsi="Arial" w:cs="Arial"/>
          <w:color w:val="000000"/>
          <w:sz w:val="24"/>
          <w:u w:color="000000"/>
        </w:rPr>
        <w:t xml:space="preserve">hrony ekspozycji „E” </w:t>
      </w:r>
      <w:r w:rsidRPr="00C8752B">
        <w:rPr>
          <w:rFonts w:ascii="Arial" w:hAnsi="Arial" w:cs="Arial"/>
          <w:color w:val="000000"/>
          <w:sz w:val="24"/>
          <w:u w:color="000000"/>
        </w:rPr>
        <w:t>w którym zakazuje się wznoszenia nowych dominant przestrzennych;</w:t>
      </w:r>
    </w:p>
    <w:p w14:paraId="7C39567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na obszarze objętym niniejszym planem wskazuje się strefę ochron</w:t>
      </w:r>
      <w:r w:rsidR="00C8752B">
        <w:rPr>
          <w:rFonts w:ascii="Arial" w:hAnsi="Arial" w:cs="Arial"/>
          <w:color w:val="000000"/>
          <w:sz w:val="24"/>
          <w:u w:color="000000"/>
        </w:rPr>
        <w:t xml:space="preserve">y archeologicznej „OW”, zgodnie </w:t>
      </w:r>
      <w:r w:rsidRPr="00C8752B">
        <w:rPr>
          <w:rFonts w:ascii="Arial" w:hAnsi="Arial" w:cs="Arial"/>
          <w:color w:val="000000"/>
          <w:sz w:val="24"/>
          <w:u w:color="000000"/>
        </w:rPr>
        <w:t>z rysunkiem planu;</w:t>
      </w:r>
    </w:p>
    <w:p w14:paraId="3EB626A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na obszarze zabytkowego układu urbanistycznego wpisanego do rejestru zabytków oraz strefy ochrony archeologicznej „OW” nakazuje się przeprowadzenie badań archeologicznych w formie nadzoru archeologicznego przy realizacji robót ziemnych lub dokonaniu zmiany dotychczasowej działalności wiążącej się z naruszeniem struktury gruntu. Wydanie pozwolenia na nadzór archeologiczny regulują przepisy odrębne;</w:t>
      </w:r>
    </w:p>
    <w:p w14:paraId="6CF5F3B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7) </w:t>
      </w:r>
      <w:r w:rsidRPr="00C8752B">
        <w:rPr>
          <w:rFonts w:ascii="Arial" w:hAnsi="Arial" w:cs="Arial"/>
          <w:color w:val="000000"/>
          <w:sz w:val="24"/>
          <w:u w:color="000000"/>
        </w:rPr>
        <w:t>na obszarze planu nie występują obiekty dóbr kultury współczesnej, wobec czego plan nie ustala wymagań w tym zakresie;</w:t>
      </w:r>
    </w:p>
    <w:p w14:paraId="32948B67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4. </w:t>
      </w:r>
      <w:r w:rsidRPr="00C8752B">
        <w:rPr>
          <w:rFonts w:ascii="Arial" w:hAnsi="Arial" w:cs="Arial"/>
          <w:color w:val="000000"/>
          <w:sz w:val="24"/>
          <w:u w:color="000000"/>
        </w:rPr>
        <w:t>Wymagania wynikające z potrzeb kształtowania przestrzeni publicznych:</w:t>
      </w:r>
    </w:p>
    <w:p w14:paraId="07B4BE1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do przestrzeni publicznych zalicza się:</w:t>
      </w:r>
    </w:p>
    <w:p w14:paraId="3BEC6F3D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tereny zieleni urządzonej oznaczone na rysunku planu symbolem 1ZP, 2ZP, 3ZP,</w:t>
      </w:r>
    </w:p>
    <w:p w14:paraId="78744190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tereny dróg publicznych oznaczone na rysunku planu symbolami: 1KDZ, 2KDZ, 3KDZ,1KDL, 1KDD, 2KDD i 3KDD,</w:t>
      </w:r>
    </w:p>
    <w:p w14:paraId="1F041951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teren drogi wewnętrznej 1KDW oraz ciągi piesze 1Kx, 2Kx,</w:t>
      </w:r>
    </w:p>
    <w:p w14:paraId="7B4BF065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d) </w:t>
      </w:r>
      <w:r w:rsidRPr="00C8752B">
        <w:rPr>
          <w:rFonts w:ascii="Arial" w:hAnsi="Arial" w:cs="Arial"/>
          <w:color w:val="000000"/>
          <w:sz w:val="24"/>
          <w:u w:color="000000"/>
        </w:rPr>
        <w:t>teren wód powierzchniowych 1WS;</w:t>
      </w:r>
    </w:p>
    <w:p w14:paraId="2B5246D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dla przestrzeni publicznych ustala się stosowanie jednolitych nawierzchni dla chodników, ciągów pieszych i jednolitych nawierzchni dla ścieżek rowerowych;</w:t>
      </w:r>
    </w:p>
    <w:p w14:paraId="0E7421D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ustala dla terenów przestrzeni publicznej stanowiących tereny: 1ZP, 2ZP, 3ZP nasadzenia zieleni z wykorzystaniem rodzimych gatunków drzew i krzewów;</w:t>
      </w:r>
    </w:p>
    <w:p w14:paraId="1842DB0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plan nie wyznacza obszarów przestrzeni publicznych;</w:t>
      </w:r>
    </w:p>
    <w:p w14:paraId="57D9253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dopuszcza się, wyłącznie na czas trwania wystawy, pokazu lub imprez o charakterze ogólnodostępnym, lokalizację tymczasowych obiektów budowlanych takich jak: kioski uliczne, pawilony sprzedaży ulicznej, pawilony wystawowe, </w:t>
      </w:r>
      <w:proofErr w:type="spellStart"/>
      <w:r w:rsidRPr="00C8752B">
        <w:rPr>
          <w:rFonts w:ascii="Arial" w:hAnsi="Arial" w:cs="Arial"/>
          <w:color w:val="000000"/>
          <w:sz w:val="24"/>
          <w:u w:color="000000"/>
        </w:rPr>
        <w:t>przekrycia</w:t>
      </w:r>
      <w:proofErr w:type="spellEnd"/>
      <w:r w:rsidRPr="00C8752B">
        <w:rPr>
          <w:rFonts w:ascii="Arial" w:hAnsi="Arial" w:cs="Arial"/>
          <w:color w:val="000000"/>
          <w:sz w:val="24"/>
          <w:u w:color="000000"/>
        </w:rPr>
        <w:t xml:space="preserve"> namiotowe i powłoki pneumatyczne oraz inne </w:t>
      </w:r>
      <w:proofErr w:type="spellStart"/>
      <w:r w:rsidRPr="00C8752B">
        <w:rPr>
          <w:rFonts w:ascii="Arial" w:hAnsi="Arial" w:cs="Arial"/>
          <w:color w:val="000000"/>
          <w:sz w:val="24"/>
          <w:u w:color="000000"/>
        </w:rPr>
        <w:t>przekrycia</w:t>
      </w:r>
      <w:proofErr w:type="spellEnd"/>
      <w:r w:rsidRPr="00C8752B">
        <w:rPr>
          <w:rFonts w:ascii="Arial" w:hAnsi="Arial" w:cs="Arial"/>
          <w:color w:val="000000"/>
          <w:sz w:val="24"/>
          <w:u w:color="000000"/>
        </w:rPr>
        <w:t xml:space="preserve"> o samodzielnej, ażurowej konstrukcji, instalowane jako urządzenie przestrzeni publicznych, za wyjątkiem terenów: 1WS, 3KDZ, 1KDL;</w:t>
      </w:r>
    </w:p>
    <w:p w14:paraId="40754CA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w liniach rozgraniczających dróg możliwość lokalizowania elementów małej architektury, jak: tablice informacyjne, słupy ogłoszeniowe, ławki, elementy dekoracyjne itp., w ramach ujednoliconej formy architektonicznej nawiązującej do istniejącej w obszarze Starego Miasta.</w:t>
      </w:r>
    </w:p>
    <w:p w14:paraId="6F0A79CF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5. </w:t>
      </w:r>
      <w:r w:rsidRPr="00C8752B">
        <w:rPr>
          <w:rFonts w:ascii="Arial" w:hAnsi="Arial" w:cs="Arial"/>
          <w:color w:val="000000"/>
          <w:sz w:val="24"/>
          <w:u w:color="000000"/>
        </w:rPr>
        <w:t>Granice i sposoby zagospodarowania terenów lub obiektów podlegających ochronie, na podstawie odrębnych przepisów terenów górniczych, a także obszarów szczególnego zagrożenia powodzią, obszarów osuwania się mas ziemnych, krajobrazów priorytetowych określonych w audycie krajobrazowym oraz w planach zagospodarowania przestrzennego województwa:</w:t>
      </w:r>
    </w:p>
    <w:p w14:paraId="7FEFDD8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obszar objęty planem nie leży na terenach górniczych, wobec czego plan nie nakłada wymagań w tym zakresie;</w:t>
      </w:r>
    </w:p>
    <w:p w14:paraId="3013650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obszar objęty planem nie jest narażony na niebezpieczeństwo powodzi, wobec czego plan nie nakłada wymagań w tym zakresie;</w:t>
      </w:r>
    </w:p>
    <w:p w14:paraId="7317B2A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na obszarze objętym planem nie występują zjawiska związane z osuwaniem się mas ziemnych, wobec czego plan nie nakłada wymagań w tym zakresie;</w:t>
      </w:r>
    </w:p>
    <w:p w14:paraId="6F2DAD3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na obszarze objętym planem brak jest krajobrazów priorytetowych określonych w audycie krajobrazowym oraz w planach zagospodarowania przestrzennego województwa, wobec czego plan nie nakłada wymagań w tym zakresie.</w:t>
      </w:r>
    </w:p>
    <w:p w14:paraId="465A532C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6. </w:t>
      </w:r>
      <w:r w:rsidRPr="00C8752B">
        <w:rPr>
          <w:rFonts w:ascii="Arial" w:hAnsi="Arial" w:cs="Arial"/>
          <w:color w:val="000000"/>
          <w:sz w:val="24"/>
          <w:u w:color="000000"/>
        </w:rPr>
        <w:t>Szczegółowe zasady i warunki scalania i podziału nieruchomości:</w:t>
      </w:r>
    </w:p>
    <w:p w14:paraId="12358A2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Warunki scalania i podziału nieruchomości określono w Dziale III.</w:t>
      </w:r>
    </w:p>
    <w:p w14:paraId="2B0141AC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7. </w:t>
      </w:r>
      <w:r w:rsidRPr="00C8752B">
        <w:rPr>
          <w:rFonts w:ascii="Arial" w:hAnsi="Arial" w:cs="Arial"/>
          <w:color w:val="000000"/>
          <w:sz w:val="24"/>
          <w:u w:color="000000"/>
        </w:rPr>
        <w:t>Zasady modernizacji, rozbudowy i budowy systemów komunikacji i infrastruktury technicznej:</w:t>
      </w:r>
    </w:p>
    <w:p w14:paraId="6A413EF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powiązanie istniejących i projektowanych sieci infrastruktury technicznej obszaru planu z układem sieci miejskich realizowane poprzez ich rozbudowę;</w:t>
      </w:r>
    </w:p>
    <w:p w14:paraId="6419A7F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wymagania dotyczące sposobu zagospodarowania dróg publicznych, wewnętrznych i ciągów pieszych określono w Dziale III;</w:t>
      </w:r>
    </w:p>
    <w:p w14:paraId="474E13A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przebudowę i budowę sieci i urządzeń infrastruktury technicznej na całym obszarze objętym planem z zachowaniem przepisów odrębnych i ustaleniami Działu IV;</w:t>
      </w:r>
    </w:p>
    <w:p w14:paraId="19542AA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zakaz stosowania nawierzchni bitumicznej jako nawierzchni chodników i ciągów pieszych;</w:t>
      </w:r>
    </w:p>
    <w:p w14:paraId="4CF6469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instalacji wykorzystujących siłę wiatru;</w:t>
      </w:r>
    </w:p>
    <w:p w14:paraId="1EFE6EC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zakaz lokalizacji odnawialnych źródeł energii o mocy przekraczającej moc </w:t>
      </w:r>
      <w:proofErr w:type="spellStart"/>
      <w:r w:rsidRPr="00C8752B">
        <w:rPr>
          <w:rFonts w:ascii="Arial" w:hAnsi="Arial" w:cs="Arial"/>
          <w:color w:val="000000"/>
          <w:sz w:val="24"/>
          <w:u w:color="000000"/>
        </w:rPr>
        <w:t>mikroinstalacji</w:t>
      </w:r>
      <w:proofErr w:type="spellEnd"/>
      <w:r w:rsidRPr="00C8752B">
        <w:rPr>
          <w:rFonts w:ascii="Arial" w:hAnsi="Arial" w:cs="Arial"/>
          <w:color w:val="000000"/>
          <w:sz w:val="24"/>
          <w:u w:color="000000"/>
        </w:rPr>
        <w:t>;</w:t>
      </w:r>
    </w:p>
    <w:p w14:paraId="21ECF8C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urządzeń wytwarzających energię z odnawialnych źródeł energii o mocy przekraczającej 100kW;</w:t>
      </w:r>
    </w:p>
    <w:p w14:paraId="1B0FAE8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8) </w:t>
      </w:r>
      <w:r w:rsidRPr="00C8752B">
        <w:rPr>
          <w:rFonts w:ascii="Arial" w:hAnsi="Arial" w:cs="Arial"/>
          <w:color w:val="000000"/>
          <w:sz w:val="24"/>
          <w:u w:color="000000"/>
        </w:rPr>
        <w:t>dla urządzeń wytwarzających energię z odnawialnych źródeł energii lokalizowanych na dachach budynków ustala się ich położenie wyłącznie równolegle do połaci dachu, na której zostały umieszczone;</w:t>
      </w:r>
    </w:p>
    <w:p w14:paraId="43A71D2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9)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zapewnienie dostępu do sieci w celach eksploatacyjnych.</w:t>
      </w:r>
    </w:p>
    <w:p w14:paraId="7D1720A9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8. 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następujące zasady zagospodarowania i wyposażenia terenów w zakresie obronności i w sytuacjach kryzysowych:</w:t>
      </w:r>
    </w:p>
    <w:p w14:paraId="7B4CE10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zaopatrzenie w wodę, gaz, energię elektryczną i cieplną, winno następować równolegle z powstającą zabudową;</w:t>
      </w:r>
    </w:p>
    <w:p w14:paraId="4F61266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lokalizację obiektów służących ochronie ludności w sytuacjach kryzysowych, wyznacza się na terenie 1ZP, 2ZP, 3ZP;</w:t>
      </w:r>
    </w:p>
    <w:p w14:paraId="5D0B101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obowiązek zapewnienia wykorzystania dróg publicznych, terenów zieleni urządzonej, terenu parkingu ogólnodostępnego do celów p. </w:t>
      </w:r>
      <w:proofErr w:type="spellStart"/>
      <w:r w:rsidRPr="00C8752B">
        <w:rPr>
          <w:rFonts w:ascii="Arial" w:hAnsi="Arial" w:cs="Arial"/>
          <w:color w:val="000000"/>
          <w:sz w:val="24"/>
          <w:u w:color="000000"/>
        </w:rPr>
        <w:t>poż</w:t>
      </w:r>
      <w:proofErr w:type="spellEnd"/>
      <w:r w:rsidRPr="00C8752B">
        <w:rPr>
          <w:rFonts w:ascii="Arial" w:hAnsi="Arial" w:cs="Arial"/>
          <w:color w:val="000000"/>
          <w:sz w:val="24"/>
          <w:u w:color="000000"/>
        </w:rPr>
        <w:t>., dla sprzętu ratowniczego i w sytuacjach kryzysowych;</w:t>
      </w:r>
    </w:p>
    <w:p w14:paraId="0C741D1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ochrona przeciwpożarowa obiektów budowlanych poprzez hydranty lub zbiorniki przeciwpożarowe, montowane na sieci wodociągowej zgodnie z przepisami odrębnymi.</w:t>
      </w:r>
    </w:p>
    <w:p w14:paraId="5D8BD430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9. </w:t>
      </w:r>
      <w:r w:rsidRPr="00C8752B">
        <w:rPr>
          <w:rFonts w:ascii="Arial" w:hAnsi="Arial" w:cs="Arial"/>
          <w:color w:val="000000"/>
          <w:sz w:val="24"/>
          <w:u w:color="000000"/>
        </w:rPr>
        <w:t>Sposób i termin tymczasowego zagospodarowania terenów oraz ograniczenia w ich użytkowaniu, w tym zakaz zabudowy:</w:t>
      </w:r>
    </w:p>
    <w:p w14:paraId="58582C6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tereny mogą być użytkowane w sposób dotychczasowy, do czasu realizacji zagospodarowania terenu zgodnie z planem;</w:t>
      </w:r>
    </w:p>
    <w:p w14:paraId="49AD162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dokonywanie podziałów działek niespełniających ustaleń szczegółowych na potrzeby: lokalizacji infrastruktury technicznej, regulacji stanu prawnego, wydzielenia działek na poprawę warunków zagospodarowania nieruchomości sąsiednich;</w:t>
      </w:r>
    </w:p>
    <w:p w14:paraId="1037DE1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w realizacji zabudowy obowiązuje uwzględnienie warunków geotechnicznych dla posadowienia budynku;</w:t>
      </w:r>
    </w:p>
    <w:p w14:paraId="4A4FDED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ze względu na prawidłowość funkcjonowania lotniska Piotrków Trybunalski, na obszarze objętym miejscowym planem zagospodarowania przestrzennego obowiązują bezwzględne ograniczenia wysokości obiektów budowlanych i naturalnych, zgodnie z przepisami odrębnymi – ograniczenia wysokości obejmują również wszystkie urządzenia umieszczone na obiektach budowlanych oraz zabrania się budowy lub rozbudowy obiektów budowlanych sprzyjających występowaniu zwierząt stwarzających zagrożenie dla ruchu statków powietrznych, jak i hodowania lub wypuszczania ptaków stwarzających zagrożenie dla ruchu statków powietrznych;</w:t>
      </w:r>
    </w:p>
    <w:p w14:paraId="75259B3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strefę ograniczonego użytkowania od ciepłociągu:</w:t>
      </w:r>
    </w:p>
    <w:p w14:paraId="3EBFE857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szerokość strefy: 1,5 m na każdą stronę od brzegu/skrajni ciepłociągu, zgodnie z rysunkiem planu,</w:t>
      </w:r>
    </w:p>
    <w:p w14:paraId="63413256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w strefie ograniczonego użytkowania obowiązuje zakaz lokalizacji budynków i obiektów budowlanych wymagających fundamentowania.</w:t>
      </w:r>
    </w:p>
    <w:p w14:paraId="5734FA30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10. 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następującą wysokość jednorazowej opłaty określoną w stosunku procentowym do wzrostu wartości nieruchomości - renta planistyczna, która wynosi:</w:t>
      </w:r>
    </w:p>
    <w:p w14:paraId="266EE15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30% dla terenów MŚ;</w:t>
      </w:r>
    </w:p>
    <w:p w14:paraId="06C6F77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30% dla terenu U;</w:t>
      </w:r>
    </w:p>
    <w:p w14:paraId="1A110AB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dla pozostałych terenów wyznaczonych w planie nie stwierdza się wzrostu wartości nieruchomości.</w:t>
      </w:r>
    </w:p>
    <w:p w14:paraId="1AD4F0F0" w14:textId="77777777" w:rsidR="00A77B3E" w:rsidRPr="00C8752B" w:rsidRDefault="0080217F" w:rsidP="00C8752B">
      <w:pPr>
        <w:keepNext/>
        <w:spacing w:line="360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caps/>
          <w:sz w:val="24"/>
        </w:rPr>
        <w:t>Dział III.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USTALENIA SZCZEGÓŁOWE DLA POSZCZEGÓLNYCH TERENÓW</w:t>
      </w:r>
    </w:p>
    <w:p w14:paraId="762BF496" w14:textId="77777777" w:rsidR="00A77B3E" w:rsidRPr="00C8752B" w:rsidRDefault="0080217F" w:rsidP="00C8752B">
      <w:pPr>
        <w:keepNext/>
        <w:spacing w:line="360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Rozdział 1.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USTALENIA DOTYCZĄCE TERENÓW ZABUDOWY</w:t>
      </w:r>
    </w:p>
    <w:p w14:paraId="0F5310B0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6. 1. </w:t>
      </w:r>
      <w:r w:rsidRPr="00C8752B">
        <w:rPr>
          <w:rFonts w:ascii="Arial" w:hAnsi="Arial" w:cs="Arial"/>
          <w:color w:val="000000"/>
          <w:sz w:val="24"/>
          <w:u w:color="000000"/>
        </w:rPr>
        <w:t>Dla terenu oznaczonego na rysunku planu symbolem 1MŚ, ustala się następujące przeznaczenie - zabudowa wielofunkcyjna śródmiejska;</w:t>
      </w:r>
    </w:p>
    <w:p w14:paraId="00B3DC8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budynków mieszkalnych, usługowych z możliwością łączenia tych funkcji;</w:t>
      </w:r>
    </w:p>
    <w:p w14:paraId="0F1FB71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nowej zabudowy mieszkaniowej jednorodzinnej;</w:t>
      </w:r>
    </w:p>
    <w:p w14:paraId="4EBF4F2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dla istniejących budynków dopuszcza się przebudowę, nadbudowę, rozbudowę i zmianę sposobu użytkowania bez konieczności usytuowania budynku w obowiązującej linii zabudowy;</w:t>
      </w:r>
    </w:p>
    <w:p w14:paraId="1C4CB58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usług polegających na składowaniu, magazynowaniu, przetwarzaniu, konfekcjonowaniu i obrocie handlowym kopalinami, kruszywami budowlanymi, ziemią, torfem, węglem opałowym we wszystkich postaciach, wszelkich odpadów w rozumieniu przepisów szczególnych oraz  usług niewymagających  obiektów  kubaturowych, np.: parkingów, złomowisk, targowisk, itp.;</w:t>
      </w:r>
    </w:p>
    <w:p w14:paraId="45DC746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stacji paliw, LPG, myjni samochodowych, stacji demontażu pojazdów, zakładów mechaniki pojazdowej, lakierni i wulkanizacji;</w:t>
      </w:r>
    </w:p>
    <w:p w14:paraId="356A590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obiektów i tworzenia lokali o powierzchni sprzedaży przekraczającej 400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.</w:t>
      </w:r>
    </w:p>
    <w:p w14:paraId="4BE63191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Zasady ochrony i kształtowania ładu przestrzennego:</w:t>
      </w:r>
    </w:p>
    <w:p w14:paraId="5908613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minimalną powierzchnię nowopowstałej działki budowlanej: 460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.</w:t>
      </w:r>
    </w:p>
    <w:p w14:paraId="31865725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3. </w:t>
      </w:r>
      <w:r w:rsidRPr="00C8752B">
        <w:rPr>
          <w:rFonts w:ascii="Arial" w:hAnsi="Arial" w:cs="Arial"/>
          <w:color w:val="000000"/>
          <w:sz w:val="24"/>
          <w:u w:color="000000"/>
        </w:rPr>
        <w:t>Warunki zagospodarowania działek:</w:t>
      </w:r>
    </w:p>
    <w:p w14:paraId="09C9E9F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wskaźnik intensywności zabudowy:</w:t>
      </w:r>
    </w:p>
    <w:p w14:paraId="2221025F" w14:textId="77777777" w:rsidR="00A77B3E" w:rsidRPr="00C8752B" w:rsidRDefault="0080217F" w:rsidP="00C8752B">
      <w:pPr>
        <w:keepLines/>
        <w:spacing w:before="120" w:after="120" w:line="360" w:lineRule="auto"/>
        <w:ind w:left="22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– </w:t>
      </w:r>
      <w:r w:rsidRPr="00C8752B">
        <w:rPr>
          <w:rFonts w:ascii="Arial" w:hAnsi="Arial" w:cs="Arial"/>
          <w:color w:val="000000"/>
          <w:sz w:val="24"/>
          <w:u w:color="000000"/>
        </w:rPr>
        <w:t>od 0,4 do 3,2;</w:t>
      </w:r>
    </w:p>
    <w:p w14:paraId="6764A9F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maksymalny wskaźnik powierzchni zabudowy:</w:t>
      </w:r>
    </w:p>
    <w:p w14:paraId="1BDA2096" w14:textId="77777777" w:rsidR="00A77B3E" w:rsidRPr="00C8752B" w:rsidRDefault="0080217F" w:rsidP="00C8752B">
      <w:pPr>
        <w:keepLines/>
        <w:spacing w:before="120" w:after="120" w:line="360" w:lineRule="auto"/>
        <w:ind w:left="22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– </w:t>
      </w:r>
      <w:r w:rsidRPr="00C8752B">
        <w:rPr>
          <w:rFonts w:ascii="Arial" w:hAnsi="Arial" w:cs="Arial"/>
          <w:color w:val="000000"/>
          <w:sz w:val="24"/>
          <w:u w:color="000000"/>
        </w:rPr>
        <w:t>80%;</w:t>
      </w:r>
    </w:p>
    <w:p w14:paraId="1A20CD8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minimalny wskaźnik powierzchni biologicznie czynnej:</w:t>
      </w:r>
    </w:p>
    <w:p w14:paraId="7779358A" w14:textId="77777777" w:rsidR="00A77B3E" w:rsidRPr="00C8752B" w:rsidRDefault="0080217F" w:rsidP="00C8752B">
      <w:pPr>
        <w:keepLines/>
        <w:spacing w:before="120" w:after="120" w:line="360" w:lineRule="auto"/>
        <w:ind w:left="22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– </w:t>
      </w:r>
      <w:r w:rsidRPr="00C8752B">
        <w:rPr>
          <w:rFonts w:ascii="Arial" w:hAnsi="Arial" w:cs="Arial"/>
          <w:color w:val="000000"/>
          <w:sz w:val="24"/>
          <w:u w:color="000000"/>
        </w:rPr>
        <w:t>10%;</w:t>
      </w:r>
    </w:p>
    <w:p w14:paraId="0007E14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obowiązek nawiązywania zabudową frontową do elewacji frontowej budynku wpisanego do ewidencji zabytków z obszaru objętego planem, w zakresie formy architektonicznej i kompozycji elewacji (wielkość, proporcje i rozmieszczenie otworów, skala detalu elewacyjnego) przy możliwości zastosowania współczesnych rozwiązań technologicznych i materiałowych;</w:t>
      </w:r>
    </w:p>
    <w:p w14:paraId="4959204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sytuowanie zabudowy w odległości 1,5 m od granicy lub bezpośrednio przy granicy z działką budowlaną;</w:t>
      </w:r>
    </w:p>
    <w:p w14:paraId="7B3911D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zabudowy oficynowej jako jedynego sposobu zagospodarowania działki budowlanej.</w:t>
      </w:r>
    </w:p>
    <w:p w14:paraId="576DA9B0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4. </w:t>
      </w:r>
      <w:r w:rsidRPr="00C8752B">
        <w:rPr>
          <w:rFonts w:ascii="Arial" w:hAnsi="Arial" w:cs="Arial"/>
          <w:color w:val="000000"/>
          <w:sz w:val="24"/>
          <w:u w:color="000000"/>
        </w:rPr>
        <w:t>Warunki dla zabudowy:</w:t>
      </w:r>
    </w:p>
    <w:p w14:paraId="25139D4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obowiązują ustalone na rysunku planu obowiązujące linie zabudowy z wyjątkiem §6 ust. 1 pkt 3;</w:t>
      </w:r>
    </w:p>
    <w:p w14:paraId="7C858C8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dla zabudowy lokalizowanej w obowiązującej linii zabudowy obowiązuje forma zabudowy frontowej;</w:t>
      </w:r>
    </w:p>
    <w:p w14:paraId="2A6DDC4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lokalizacja zabudowy frontowej w układzie kalenicowym – główna kalenica dachu równolegle do drogi;</w:t>
      </w:r>
    </w:p>
    <w:p w14:paraId="53A9898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obowiązek lokalizowania zabudowy frontowej przy co najmniej jednej granicy z sąsiednią działką budowlaną;</w:t>
      </w:r>
    </w:p>
    <w:p w14:paraId="2A0D0CA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zabudowy frontowej:</w:t>
      </w:r>
    </w:p>
    <w:p w14:paraId="51AB46FF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15,0 m; liczba kondygnacji naziemnych od 2, przy czym minimum 2 kondygnacje należy lokalizować w obowiązującej linii zabudowy,</w:t>
      </w:r>
    </w:p>
    <w:p w14:paraId="32CF86CB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podpiwniczenie budynków; których wyniesienie mierzone od poziomu terenu nie przekroczy 0,5 m;</w:t>
      </w:r>
    </w:p>
    <w:p w14:paraId="5E72F1A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wysokość elewacji frontowej:</w:t>
      </w:r>
    </w:p>
    <w:p w14:paraId="7AACD686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od 6,5 m do 13,0 m;</w:t>
      </w:r>
    </w:p>
    <w:p w14:paraId="53AECA7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zabudowy oficynowej:</w:t>
      </w:r>
    </w:p>
    <w:p w14:paraId="739B0854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12 m;</w:t>
      </w:r>
    </w:p>
    <w:p w14:paraId="1D9B867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8)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budowli i urządzeń budowlanych:</w:t>
      </w:r>
    </w:p>
    <w:p w14:paraId="72813D58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15 m;</w:t>
      </w:r>
    </w:p>
    <w:p w14:paraId="631B3DD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9) </w:t>
      </w:r>
      <w:r w:rsidRPr="00C8752B">
        <w:rPr>
          <w:rFonts w:ascii="Arial" w:hAnsi="Arial" w:cs="Arial"/>
          <w:color w:val="000000"/>
          <w:sz w:val="24"/>
          <w:u w:color="000000"/>
        </w:rPr>
        <w:t>dachy:</w:t>
      </w:r>
    </w:p>
    <w:p w14:paraId="271F8E03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w zabudowie frontowej obowiązują dwupołaciowe symetryczne (dwu- lub wielopołaciowe w narożnikach budynków) o kącie nachylenia - od 15° do 35° na trakcie o maksymalnej głębokości 14,0 m z możliwością stosowania lukarn i okien połaciowych (kąt nachylenia połaci nie dotyczy lukarn),</w:t>
      </w:r>
    </w:p>
    <w:p w14:paraId="0097D213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dla zabudowy oficynowej - dachy jedno, dwu lub wielopołaciowe o kącie nachylenia do 35°,</w:t>
      </w:r>
    </w:p>
    <w:p w14:paraId="5B62D33B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jednolite pokrycie dachów (pod względem użytego materiału) w ramach działki budowlanej,</w:t>
      </w:r>
    </w:p>
    <w:p w14:paraId="794E5E57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d) </w:t>
      </w:r>
      <w:r w:rsidRPr="00C8752B">
        <w:rPr>
          <w:rFonts w:ascii="Arial" w:hAnsi="Arial" w:cs="Arial"/>
          <w:color w:val="000000"/>
          <w:sz w:val="24"/>
          <w:u w:color="000000"/>
        </w:rPr>
        <w:t>pokrycie dachów budynków wyłącznie dachówką ceramiczną (w kolorze naturalnej, niebarwionej ceramiki) lub blachą (w kolorze odcieni stali i miedzi) z wyłączeniem blachodachówki,</w:t>
      </w:r>
    </w:p>
    <w:p w14:paraId="4E862817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e) </w:t>
      </w:r>
      <w:r w:rsidRPr="00C8752B">
        <w:rPr>
          <w:rFonts w:ascii="Arial" w:hAnsi="Arial" w:cs="Arial"/>
          <w:color w:val="000000"/>
          <w:sz w:val="24"/>
          <w:u w:color="000000"/>
        </w:rPr>
        <w:t>nie ustala się rodzaju pokrycia dachów płaskich o kącie nachylenia połaci do 7°;</w:t>
      </w:r>
    </w:p>
    <w:p w14:paraId="0BBCD73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10) </w:t>
      </w:r>
      <w:r w:rsidRPr="00C8752B">
        <w:rPr>
          <w:rFonts w:ascii="Arial" w:hAnsi="Arial" w:cs="Arial"/>
          <w:color w:val="000000"/>
          <w:sz w:val="24"/>
          <w:u w:color="000000"/>
        </w:rPr>
        <w:t>realizacja elewacji z zastosowaniem nie więcej niż 3 rodzajów materiałów wykończeniowych (nie dotyczy obróbek blacharskich);</w:t>
      </w:r>
    </w:p>
    <w:p w14:paraId="66984EA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11) </w:t>
      </w:r>
      <w:r w:rsidRPr="00C8752B">
        <w:rPr>
          <w:rFonts w:ascii="Arial" w:hAnsi="Arial" w:cs="Arial"/>
          <w:color w:val="000000"/>
          <w:sz w:val="24"/>
          <w:u w:color="000000"/>
        </w:rPr>
        <w:t>w elewacji frontowej zakaz stosowania jako okładzin elewacyjnych: blach trapezowych, falistych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i blachodachówki, płytek ceramicznych, PCV/PCW, drewna i imitacji drewna;</w:t>
      </w:r>
    </w:p>
    <w:p w14:paraId="7C0E9DC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12) </w:t>
      </w:r>
      <w:r w:rsidRPr="00C8752B">
        <w:rPr>
          <w:rFonts w:ascii="Arial" w:hAnsi="Arial" w:cs="Arial"/>
          <w:color w:val="000000"/>
          <w:sz w:val="24"/>
          <w:u w:color="000000"/>
        </w:rPr>
        <w:t>w elewacjach budynków (poza elewacją frontową) zakaz stosowania jako okładzin elewacyjnych:</w:t>
      </w:r>
    </w:p>
    <w:p w14:paraId="57C6F8B0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blach trapezowych, falistych i blachodachówki, płytek ceramicznych,</w:t>
      </w:r>
    </w:p>
    <w:p w14:paraId="073F5048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PCV/PCW, blach w ilości większej niż 30% powierzchni elewacji,</w:t>
      </w:r>
    </w:p>
    <w:p w14:paraId="22F7938E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drewna i imitacji drewna w ilości większej niż 30% powierzchni elewacji;</w:t>
      </w:r>
    </w:p>
    <w:p w14:paraId="0EE4674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13)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jednolita kolorystyka stolarki okiennej i drzwiowej dla wszystkich budynków w ramach działki budowlanej;</w:t>
      </w:r>
    </w:p>
    <w:p w14:paraId="6B5C086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14)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zakaz lokalizacji wjazdów do indywidualnych garaży w elewacji frontowej od strony dróg publicznych: 1KDL, 2KDD, 3KDD;</w:t>
      </w:r>
    </w:p>
    <w:p w14:paraId="44BC4FC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15)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tymczasowych obiektów budowlanych, za wyjątkiem lokalizacji obiektów stanowiących zaplecze budowy związanej z inwestycją realizowaną na podstawie ustaleń planu;</w:t>
      </w:r>
    </w:p>
    <w:p w14:paraId="074D942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16)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zapewnienie odpowiedniej ilości miejsc do parkowania w ramach działki budowlanej nie mniejszej niż:</w:t>
      </w:r>
    </w:p>
    <w:p w14:paraId="463A9176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1 miejsce do parkowania na każde pełne 250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 powierzchni usługowej w tym handlowej (lecz nie mniej niż 1) oraz minimum 1 miejsce do parkowania przeznaczone na par</w:t>
      </w:r>
      <w:r w:rsidR="00C8752B">
        <w:rPr>
          <w:rFonts w:ascii="Arial" w:hAnsi="Arial" w:cs="Arial"/>
          <w:color w:val="000000"/>
          <w:sz w:val="24"/>
          <w:u w:color="000000"/>
        </w:rPr>
        <w:t xml:space="preserve">kowanie pojazdów zaopatrzonych </w:t>
      </w:r>
      <w:r w:rsidRPr="00C8752B">
        <w:rPr>
          <w:rFonts w:ascii="Arial" w:hAnsi="Arial" w:cs="Arial"/>
          <w:color w:val="000000"/>
          <w:sz w:val="24"/>
          <w:u w:color="000000"/>
        </w:rPr>
        <w:t>w kartę parkingową,</w:t>
      </w:r>
    </w:p>
    <w:p w14:paraId="4FEB3328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0,35 miejsca do parkowania na każdy lokal mieszkalny, przy czym dla funkcji mieszkaniowej nie ustala się obowiązku lokalizacji miejsc do parkowania dla pojazdów zaopatrzonych w kartę parkingową,</w:t>
      </w:r>
    </w:p>
    <w:p w14:paraId="0D1676D4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w przypadku lokalizacji na działce funkcji mieszkaniowej oraz usługowej ustala się wyznaczenie miejsc parkingowych odpowiednio dla każdej z funkcji.</w:t>
      </w:r>
    </w:p>
    <w:p w14:paraId="31D948B5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5. </w:t>
      </w:r>
      <w:r w:rsidRPr="00C8752B">
        <w:rPr>
          <w:rFonts w:ascii="Arial" w:hAnsi="Arial" w:cs="Arial"/>
          <w:color w:val="000000"/>
          <w:sz w:val="24"/>
          <w:u w:color="000000"/>
        </w:rPr>
        <w:t>Szczegółowe zasady i warunki scalania i podziału nieruchomości:</w:t>
      </w:r>
    </w:p>
    <w:p w14:paraId="77C7093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nie ustala się obowiązku scalania i ponownego podziału nieruchomości;</w:t>
      </w:r>
    </w:p>
    <w:p w14:paraId="29BA5FE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nie wyznacza się granic obszarów wymagających przeprowadzenia scaleń i podziałów nieruchomości;</w:t>
      </w:r>
    </w:p>
    <w:p w14:paraId="6DFEB6D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parametry działek powstałych w wyniku scalania i podziału nieruchomości:</w:t>
      </w:r>
    </w:p>
    <w:p w14:paraId="5FB8B18A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minimalna powierzchnia: 460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,</w:t>
      </w:r>
    </w:p>
    <w:p w14:paraId="4B7FE2C2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minimalna szerokość frontu: 18,0 m,</w:t>
      </w:r>
    </w:p>
    <w:p w14:paraId="042B0E56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dowolny kąt położenia granic działek w stosunku do pasa drogowego.</w:t>
      </w:r>
    </w:p>
    <w:p w14:paraId="02D1B544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6. 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Zasady obsługi komunikacyjnej: </w:t>
      </w:r>
    </w:p>
    <w:p w14:paraId="422391C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obsługa komunikacyjna z przyległych dróg: 2KDD, 3KDD, 1KDL.</w:t>
      </w:r>
    </w:p>
    <w:p w14:paraId="699C28E1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7. </w:t>
      </w:r>
      <w:r w:rsidRPr="00C8752B">
        <w:rPr>
          <w:rFonts w:ascii="Arial" w:hAnsi="Arial" w:cs="Arial"/>
          <w:color w:val="000000"/>
          <w:sz w:val="24"/>
          <w:u w:color="000000"/>
        </w:rPr>
        <w:t>Warunki w zakresie infrastruktury technicznej ustalone w Dziale IV.</w:t>
      </w:r>
    </w:p>
    <w:p w14:paraId="26D92950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7. 1. </w:t>
      </w:r>
      <w:r w:rsidRPr="00C8752B">
        <w:rPr>
          <w:rFonts w:ascii="Arial" w:hAnsi="Arial" w:cs="Arial"/>
          <w:color w:val="000000"/>
          <w:sz w:val="24"/>
          <w:u w:color="000000"/>
        </w:rPr>
        <w:t>Dla terenu oznaczonego na rysunku planu symbolem 2MŚ, ustala się następujące przeznaczenie - zabudowa wielofunkcyjna śródmiejska.</w:t>
      </w:r>
    </w:p>
    <w:p w14:paraId="7412B94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budynków mieszkalnych, usługowych z możliwością łączenia tych funkcji;</w:t>
      </w:r>
    </w:p>
    <w:p w14:paraId="0D5AC31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nowej zabudowy mieszkaniowej jednorodzinnej;</w:t>
      </w:r>
    </w:p>
    <w:p w14:paraId="6DFC262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dla istniejących budynków dopuszcza się przebudowę, nadbudowę, rozbudowę i zmianę sposobu użytkowania bez konieczności usytuowania budynku w obowiązującej linii zabudowy;</w:t>
      </w:r>
    </w:p>
    <w:p w14:paraId="7D5047E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usług polegających na składowaniu, magazynowaniu, przetwarzaniu, konfekcjonowaniu i obrocie handlowym kopalinami, kruszywami budowlanymi, ziemią, torfem, węglem opałowym we wszystkich postaciach, wszelkich odpadów w rozumieniu przepisów szczególnych oraz usług niewymagających obiektów kubaturowych, np.: parkingów, złomowisk, targowisk, itp.;</w:t>
      </w:r>
    </w:p>
    <w:p w14:paraId="0BE29F6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stacji paliw, LPG, myjni samochodowych, stacji demontażu pojazdów, zakładów mechaniki pojazdowej, lakierni i wulkanizacji;</w:t>
      </w:r>
    </w:p>
    <w:p w14:paraId="100A782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obiektów i tworzenia lokali o powierzchni sprzedaży przekraczającej 400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.</w:t>
      </w:r>
    </w:p>
    <w:p w14:paraId="7CB0576A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Zasady ochrony i kształtowania ładu przestrzennego:</w:t>
      </w:r>
    </w:p>
    <w:p w14:paraId="1416894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minimalną powierzchnię nowopowstałej działki budowlanej 500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.</w:t>
      </w:r>
    </w:p>
    <w:p w14:paraId="3F9C2CF3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3. </w:t>
      </w:r>
      <w:r w:rsidRPr="00C8752B">
        <w:rPr>
          <w:rFonts w:ascii="Arial" w:hAnsi="Arial" w:cs="Arial"/>
          <w:color w:val="000000"/>
          <w:sz w:val="24"/>
          <w:u w:color="000000"/>
        </w:rPr>
        <w:t>Warunki zagospodarowania działek:</w:t>
      </w:r>
    </w:p>
    <w:p w14:paraId="657531C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wskaźnik intensywności zabudowy:</w:t>
      </w:r>
    </w:p>
    <w:p w14:paraId="5C048945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od 0,4 do 1,9;</w:t>
      </w:r>
    </w:p>
    <w:p w14:paraId="3513095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maksymalny wskaźnik powierzchni zabudowy:</w:t>
      </w:r>
    </w:p>
    <w:p w14:paraId="36591575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65%;</w:t>
      </w:r>
    </w:p>
    <w:p w14:paraId="129909B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minimalny wskaźnik powierzchni biologicznie czynnej:</w:t>
      </w:r>
    </w:p>
    <w:p w14:paraId="14166DA7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20%;</w:t>
      </w:r>
    </w:p>
    <w:p w14:paraId="3B794DA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obowiązek nawiązywania zabudową frontową do elewacji frontowej budynku wpisanego do ewidencji zabytków z obszaru objętego planem, w zakresie formy architektonicznej i kompozycji elewacji (wielkość, proporcje i rozmieszczenie otworów, skala detalu </w:t>
      </w:r>
      <w:r w:rsidRPr="00C8752B">
        <w:rPr>
          <w:rFonts w:ascii="Arial" w:hAnsi="Arial" w:cs="Arial"/>
          <w:color w:val="000000"/>
          <w:sz w:val="24"/>
          <w:u w:color="000000"/>
        </w:rPr>
        <w:lastRenderedPageBreak/>
        <w:t>elewacyjnego) przy możliwości zastosowania współczesnych rozwiązań technologicznych i materiałowych;</w:t>
      </w:r>
    </w:p>
    <w:p w14:paraId="37A5AD8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sytuowanie zabudowy w odległości 1,5 m od granicy lub bezpośrednio przy granicy z działką budowlaną;</w:t>
      </w:r>
    </w:p>
    <w:p w14:paraId="69FFF3E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zabudowy oficynowej jako jedynego sposobu zagospodarowania działki budowlanej.</w:t>
      </w:r>
    </w:p>
    <w:p w14:paraId="1B3CE486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4. </w:t>
      </w:r>
      <w:r w:rsidRPr="00C8752B">
        <w:rPr>
          <w:rFonts w:ascii="Arial" w:hAnsi="Arial" w:cs="Arial"/>
          <w:color w:val="000000"/>
          <w:sz w:val="24"/>
          <w:u w:color="000000"/>
        </w:rPr>
        <w:t>Warunki dla zabudowy:</w:t>
      </w:r>
    </w:p>
    <w:p w14:paraId="0A17A8F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obowiązują ustalone na rysunku planu obowiązujące linie zabudowy i </w:t>
      </w:r>
      <w:r w:rsidR="00C8752B">
        <w:rPr>
          <w:rFonts w:ascii="Arial" w:hAnsi="Arial" w:cs="Arial"/>
          <w:color w:val="000000"/>
          <w:sz w:val="24"/>
          <w:u w:color="000000"/>
        </w:rPr>
        <w:t xml:space="preserve">nieprzekraczalne linie zabudowy </w:t>
      </w:r>
      <w:r w:rsidRPr="00C8752B">
        <w:rPr>
          <w:rFonts w:ascii="Arial" w:hAnsi="Arial" w:cs="Arial"/>
          <w:color w:val="000000"/>
          <w:sz w:val="24"/>
          <w:u w:color="000000"/>
        </w:rPr>
        <w:t>z wyjątkiem §7 ust. 1 pkt 3;</w:t>
      </w:r>
    </w:p>
    <w:p w14:paraId="48BA061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dla zabudowy lokalizowanej w obowiązującej linii zabudowy obowiązuje forma zabudowy frontowej;</w:t>
      </w:r>
    </w:p>
    <w:p w14:paraId="23886B9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lokalizacja zabudowy frontowej w układzie kalenicowym – główna kalenica dachu równolegle do drogi, określonej obowiązującej linii zabudowy;</w:t>
      </w:r>
    </w:p>
    <w:p w14:paraId="43941B0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obowiązek lokalizowania zabudowy frontowej przy co najmniej jednej granicy z sąsiednią działka budowlaną;</w:t>
      </w:r>
    </w:p>
    <w:p w14:paraId="23DEBF7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zabudowy frontowej:</w:t>
      </w:r>
    </w:p>
    <w:p w14:paraId="3363970A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12,0 m; liczba kondygnacji naziemnych od 2, przy czym minimum 2 kondygnacje należy lokalizować w obowiązującej linii zabudowy,</w:t>
      </w:r>
    </w:p>
    <w:p w14:paraId="0EA62291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podpiwniczenie budynków; których wyniesienie mierzone od poziomu terenu nie przekroczy 0,5 m;</w:t>
      </w:r>
    </w:p>
    <w:p w14:paraId="1688D68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wysokość elewacji frontowej:</w:t>
      </w:r>
    </w:p>
    <w:p w14:paraId="1A9B3903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od 6,5 m do 10,0 m;</w:t>
      </w:r>
    </w:p>
    <w:p w14:paraId="4FE6E98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zabudowy oficynowej:</w:t>
      </w:r>
    </w:p>
    <w:p w14:paraId="6898C34A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10 m;</w:t>
      </w:r>
    </w:p>
    <w:p w14:paraId="4788EE6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8)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budowli i urządzeń budowlanych:</w:t>
      </w:r>
    </w:p>
    <w:p w14:paraId="6B2E1325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10 m;</w:t>
      </w:r>
    </w:p>
    <w:p w14:paraId="61A161B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9) </w:t>
      </w:r>
      <w:r w:rsidRPr="00C8752B">
        <w:rPr>
          <w:rFonts w:ascii="Arial" w:hAnsi="Arial" w:cs="Arial"/>
          <w:color w:val="000000"/>
          <w:sz w:val="24"/>
          <w:u w:color="000000"/>
        </w:rPr>
        <w:t>dachy:</w:t>
      </w:r>
    </w:p>
    <w:p w14:paraId="072E52EB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w zabudowie frontowej obowiązują dwupołaciowe symetryczne (dwu- lub wielopołaciowe w narożnikach budynków) o kącie nachylenia - od 15° do 35° na trakcie o maksymalnej głębokości 14,0 m z możliwością stosowania lukarn i okien połaciowych (kąt nachylenia połaci nie dotyczy lukarn),</w:t>
      </w:r>
    </w:p>
    <w:p w14:paraId="172FC602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dla zabudowy oficynowej - dachy jedno, dwu lub wielopołaciowe o kącie nachylenia do 35°,</w:t>
      </w:r>
    </w:p>
    <w:p w14:paraId="1ECBFCE4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jednolite pokrycie dachów (pod względem użytego materiału) w ramach działki budowlanej,</w:t>
      </w:r>
    </w:p>
    <w:p w14:paraId="12B17938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d) </w:t>
      </w:r>
      <w:r w:rsidRPr="00C8752B">
        <w:rPr>
          <w:rFonts w:ascii="Arial" w:hAnsi="Arial" w:cs="Arial"/>
          <w:color w:val="000000"/>
          <w:sz w:val="24"/>
          <w:u w:color="000000"/>
        </w:rPr>
        <w:t>pokrycie dachów budynków wyłącznie dachówką ceramiczną (w kolorze naturalnej, niebarwionej ceramiki) lub blachą (w kolorze odcieni stali i miedzi) z wyłączeniem blachodachówki,</w:t>
      </w:r>
    </w:p>
    <w:p w14:paraId="3D840A46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e) </w:t>
      </w:r>
      <w:r w:rsidRPr="00C8752B">
        <w:rPr>
          <w:rFonts w:ascii="Arial" w:hAnsi="Arial" w:cs="Arial"/>
          <w:color w:val="000000"/>
          <w:sz w:val="24"/>
          <w:u w:color="000000"/>
        </w:rPr>
        <w:t>nie ustala się rodzaju pokrycia dachów płaskich o kącie nachylenia połaci do 7°;</w:t>
      </w:r>
    </w:p>
    <w:p w14:paraId="0D8AEA5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10) </w:t>
      </w:r>
      <w:r w:rsidRPr="00C8752B">
        <w:rPr>
          <w:rFonts w:ascii="Arial" w:hAnsi="Arial" w:cs="Arial"/>
          <w:color w:val="000000"/>
          <w:sz w:val="24"/>
          <w:u w:color="000000"/>
        </w:rPr>
        <w:t>realizacja elewacji z zastosowaniem nie więcej niż 3 rodzajów materiałów wykończeniowych (nie dotyczy obróbek blacharskich);</w:t>
      </w:r>
    </w:p>
    <w:p w14:paraId="254D977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11) </w:t>
      </w:r>
      <w:r w:rsidRPr="00C8752B">
        <w:rPr>
          <w:rFonts w:ascii="Arial" w:hAnsi="Arial" w:cs="Arial"/>
          <w:color w:val="000000"/>
          <w:sz w:val="24"/>
          <w:u w:color="000000"/>
        </w:rPr>
        <w:t>w elewacji frontowej zakaz stosowania jako okładzin elewacyjnych: blach trapezowych, falistych i blachodachówki, płytek ceramicznych, PCV/PCW, drewna i imitacji drewna,</w:t>
      </w:r>
    </w:p>
    <w:p w14:paraId="2CB8E4C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12) </w:t>
      </w:r>
      <w:r w:rsidRPr="00C8752B">
        <w:rPr>
          <w:rFonts w:ascii="Arial" w:hAnsi="Arial" w:cs="Arial"/>
          <w:color w:val="000000"/>
          <w:sz w:val="24"/>
          <w:u w:color="000000"/>
        </w:rPr>
        <w:t>w elewacjach budynków (poza elewacją frontową) zakaz stosowania jako okładzin elewacyjnych:</w:t>
      </w:r>
    </w:p>
    <w:p w14:paraId="4C2EA999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blach trapezowych, falistych i blachodachówki, płytek ceramicznych,</w:t>
      </w:r>
    </w:p>
    <w:p w14:paraId="352D289A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PCV/PCW, blach w ilości większej niż 30% powierzchni elewacji,</w:t>
      </w:r>
    </w:p>
    <w:p w14:paraId="207B6381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drewna i imitacji drewna w ilości większej niż 30% powierzchni elewacji;</w:t>
      </w:r>
    </w:p>
    <w:p w14:paraId="38A5113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13)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jednolita kolorystyka stolarki okiennej i drzwiowej dla wszystkich budynków w ramach działki budowlanej;</w:t>
      </w:r>
    </w:p>
    <w:p w14:paraId="2F937F5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14)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zakaz lokalizacji wjazdów do indywidualnych garaży w elewacji frontowej od strony drogi publicznej 2KDD;</w:t>
      </w:r>
    </w:p>
    <w:p w14:paraId="488A1F0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15)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tymczasowych obiektów budowlanych, za wyjątkiem lokalizacji obiektów stanowiących zaplecze budowy związanej z inwestycją realizowaną na podstawie ustaleń planu;</w:t>
      </w:r>
    </w:p>
    <w:p w14:paraId="75D610C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16)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zapewnienie odpowiedniej ilości miejsc do parkowania w ramach działki budowlanej nie mniejszej niż:</w:t>
      </w:r>
    </w:p>
    <w:p w14:paraId="304DD6EB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1 miejsce do parkowania na każde pełne 250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 powierzchni usługowej w tym handlowej (lecz nie mniej niż 1) oraz minimum 1 miejsce do parkowania przeznaczone na parkowanie pojazdó</w:t>
      </w:r>
      <w:r w:rsidR="00C8752B">
        <w:rPr>
          <w:rFonts w:ascii="Arial" w:hAnsi="Arial" w:cs="Arial"/>
          <w:color w:val="000000"/>
          <w:sz w:val="24"/>
          <w:u w:color="000000"/>
        </w:rPr>
        <w:t xml:space="preserve">w zaopatrzonych </w:t>
      </w:r>
      <w:r w:rsidRPr="00C8752B">
        <w:rPr>
          <w:rFonts w:ascii="Arial" w:hAnsi="Arial" w:cs="Arial"/>
          <w:color w:val="000000"/>
          <w:sz w:val="24"/>
          <w:u w:color="000000"/>
        </w:rPr>
        <w:t>w kartę parkingową,</w:t>
      </w:r>
    </w:p>
    <w:p w14:paraId="353AB356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0,5 miejsca do parkowania na każdy lokal mieszkalny, przy czym dla funkcji mieszkaniowej nie ustala się obowiązku lokalizacji miejsc do parkowania dla pojazdów zaopatrzonych w kartę parkingową,</w:t>
      </w:r>
    </w:p>
    <w:p w14:paraId="27FECC66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w przypadku lokalizacji na działce funkcji mieszkaniowej oraz usługowej ustala się wyznaczenie miejsc parkingowych odpowiednio dla każdej z funkcji.</w:t>
      </w:r>
    </w:p>
    <w:p w14:paraId="74F43CF1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5. </w:t>
      </w:r>
      <w:r w:rsidRPr="00C8752B">
        <w:rPr>
          <w:rFonts w:ascii="Arial" w:hAnsi="Arial" w:cs="Arial"/>
          <w:color w:val="000000"/>
          <w:sz w:val="24"/>
          <w:u w:color="000000"/>
        </w:rPr>
        <w:t>Szczegółowe zasady i warunki scalania i podziału nieruchomości:</w:t>
      </w:r>
    </w:p>
    <w:p w14:paraId="58D2EC3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nie ustala się obowiązku scalania i ponownego podziału nieruchomości;</w:t>
      </w:r>
    </w:p>
    <w:p w14:paraId="2EBD3E8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nie wyznacza się granic obszarów wymagających przeprowadzenia scaleń i podziałów nieruchomości;</w:t>
      </w:r>
    </w:p>
    <w:p w14:paraId="2D1438C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parametry działek powstałych w wyniku scalania i podziału nieruchomości:</w:t>
      </w:r>
    </w:p>
    <w:p w14:paraId="7BD3EB0F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minimalna powierzchnia: 500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,</w:t>
      </w:r>
    </w:p>
    <w:p w14:paraId="0BED8F72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minimalna szerokość frontu: 16,0 m,</w:t>
      </w:r>
    </w:p>
    <w:p w14:paraId="33A4B898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dowolny kąt położenia granic działek w stosunku do pasa drogowego.</w:t>
      </w:r>
    </w:p>
    <w:p w14:paraId="514A7131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6. </w:t>
      </w:r>
      <w:r w:rsidRPr="00C8752B">
        <w:rPr>
          <w:rFonts w:ascii="Arial" w:hAnsi="Arial" w:cs="Arial"/>
          <w:color w:val="000000"/>
          <w:sz w:val="24"/>
          <w:u w:color="000000"/>
        </w:rPr>
        <w:t>Zasady obsługi komunikacyjnej:</w:t>
      </w:r>
    </w:p>
    <w:p w14:paraId="2FE533B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obsługa komunikacyjna z przyległych dróg: 2KDD, 1KDW.</w:t>
      </w:r>
    </w:p>
    <w:p w14:paraId="06FD3E23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7. </w:t>
      </w:r>
      <w:r w:rsidRPr="00C8752B">
        <w:rPr>
          <w:rFonts w:ascii="Arial" w:hAnsi="Arial" w:cs="Arial"/>
          <w:color w:val="000000"/>
          <w:sz w:val="24"/>
          <w:u w:color="000000"/>
        </w:rPr>
        <w:t>Warunki w zakresie infrastruktury technicznej ustalone w Dziale IV.</w:t>
      </w:r>
    </w:p>
    <w:p w14:paraId="3C456B9A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8. 1. </w:t>
      </w:r>
      <w:r w:rsidRPr="00C8752B">
        <w:rPr>
          <w:rFonts w:ascii="Arial" w:hAnsi="Arial" w:cs="Arial"/>
          <w:color w:val="000000"/>
          <w:sz w:val="24"/>
          <w:u w:color="000000"/>
        </w:rPr>
        <w:t>Dla terenu oznaczonego na rysunku planu symbolem 3MŚ, ustala się następujące przeznaczenie - zabudowa wielofunkcyjna śródmiejska.</w:t>
      </w:r>
    </w:p>
    <w:p w14:paraId="4E3DD73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budynków mieszkalnych, usługowych z możliwością łączenia tych funkcji;</w:t>
      </w:r>
    </w:p>
    <w:p w14:paraId="35759AB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lokalizację zabudowy mieszkaniowej jednorodzinnej;</w:t>
      </w:r>
    </w:p>
    <w:p w14:paraId="7BBD3A7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dla istniejących budynków dopuszcza się przebudowę, nadbudowę, rozbudowę i zmianę sposobu użytkowania;</w:t>
      </w:r>
    </w:p>
    <w:p w14:paraId="2579CFB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dla istniejących budynków zlokalizowanych pomiędzy ustaloną nieprzekraczalną linią zabudowy a terenem zieleni zakazuje się przebudowy, nadbudowy, rozbudowy i zmiany sposobu użytkowania;</w:t>
      </w:r>
    </w:p>
    <w:p w14:paraId="4D224E2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usług polegających na składowaniu, magazynowaniu, przetwarzaniu, konfekcjonowaniu i obrocie handlowym kopalinami, kruszywami budowlanymi, ziemią, torfem, węglem opałowym we wszystkich postaciach, wszelkich odpadów w rozumieniu przepisów szczególnych oraz usług niewymagających  obiektów  kubaturowych, np.: parkingów, złomowisk, targowisk, itp.;</w:t>
      </w:r>
    </w:p>
    <w:p w14:paraId="381D5AF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stacji paliw, LPG, myjni samochodowych, stacji demontażu pojazdów, zakładów mechaniki pojazdowej, lakierni i wulkanizacji;</w:t>
      </w:r>
    </w:p>
    <w:p w14:paraId="5937173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obiektów i tworzenia lokali o powierzchni sprzedaży przekraczającej 400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.</w:t>
      </w:r>
    </w:p>
    <w:p w14:paraId="31833569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Zasady ochrony i kształtowania ładu przestrzennego:</w:t>
      </w:r>
    </w:p>
    <w:p w14:paraId="11A4C41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minimalną powierzchnię nowopowstałej działki budowlanej 500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.</w:t>
      </w:r>
    </w:p>
    <w:p w14:paraId="7903F3CE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3. </w:t>
      </w:r>
      <w:r w:rsidRPr="00C8752B">
        <w:rPr>
          <w:rFonts w:ascii="Arial" w:hAnsi="Arial" w:cs="Arial"/>
          <w:color w:val="000000"/>
          <w:sz w:val="24"/>
          <w:u w:color="000000"/>
        </w:rPr>
        <w:t>Warunki zagospodarowania działek:</w:t>
      </w:r>
    </w:p>
    <w:p w14:paraId="27AD284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wskaźnik intensywności zabudowy:</w:t>
      </w:r>
    </w:p>
    <w:p w14:paraId="38EF5B80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od 0,1 do 1,5;</w:t>
      </w:r>
    </w:p>
    <w:p w14:paraId="5196155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maksymalny wskaźnik powierzchni zabudowy:</w:t>
      </w:r>
    </w:p>
    <w:p w14:paraId="05BC99C6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50%;</w:t>
      </w:r>
    </w:p>
    <w:p w14:paraId="2F63F02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minimalny wskaźnik powierzchni biologicznie czynnej:</w:t>
      </w:r>
    </w:p>
    <w:p w14:paraId="280032D4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30%;</w:t>
      </w:r>
    </w:p>
    <w:p w14:paraId="2AAAA6C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wolnostojących budynków gospodarczych i garażowych.</w:t>
      </w:r>
    </w:p>
    <w:p w14:paraId="6FCC6612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4. </w:t>
      </w:r>
      <w:r w:rsidRPr="00C8752B">
        <w:rPr>
          <w:rFonts w:ascii="Arial" w:hAnsi="Arial" w:cs="Arial"/>
          <w:color w:val="000000"/>
          <w:sz w:val="24"/>
          <w:u w:color="000000"/>
        </w:rPr>
        <w:t>Warunki dla zabudowy:</w:t>
      </w:r>
    </w:p>
    <w:p w14:paraId="0F74BB9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obowiązują ustalone na rysunku planu nieprzekraczalne linie zabudowy;</w:t>
      </w:r>
    </w:p>
    <w:p w14:paraId="0C4CB3C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zabudowy:</w:t>
      </w:r>
    </w:p>
    <w:p w14:paraId="75995D56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10,0 m;</w:t>
      </w:r>
    </w:p>
    <w:p w14:paraId="179EA51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elewacji frontowej:</w:t>
      </w:r>
    </w:p>
    <w:p w14:paraId="3C30AFD6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6,5m,</w:t>
      </w:r>
    </w:p>
    <w:p w14:paraId="32D672F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podpiwniczenie budynków, których wyniesienie mierzone od poziomu terenu nie przekroczy 0,5 m;</w:t>
      </w:r>
    </w:p>
    <w:p w14:paraId="68055FD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budowli i urządzeń budowlanych:</w:t>
      </w:r>
    </w:p>
    <w:p w14:paraId="313AD3D0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10,0 m;</w:t>
      </w:r>
    </w:p>
    <w:p w14:paraId="38DC8D1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dachy:</w:t>
      </w:r>
    </w:p>
    <w:p w14:paraId="001D3327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obowiązują dwupołaciowe, wielopołaciowe o kącie nachylenia - od 15° do 35° z możliwością stosowania lukarn i okien połaciowych (kąt nachylenia połaci nie dotyczy lukarn),</w:t>
      </w:r>
    </w:p>
    <w:p w14:paraId="7B400E72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jednolite pokrycie dachów (pod względem użytego materiału) w ramach działki budowlanej,</w:t>
      </w:r>
    </w:p>
    <w:p w14:paraId="63771CDB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pokrycie dachów budynków wyłącznie dachówką lub blachą (z wyłączeniem blachodachówki), w kolorach naturalnych;</w:t>
      </w:r>
    </w:p>
    <w:p w14:paraId="6B9AE5E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7) </w:t>
      </w:r>
      <w:r w:rsidRPr="00C8752B">
        <w:rPr>
          <w:rFonts w:ascii="Arial" w:hAnsi="Arial" w:cs="Arial"/>
          <w:color w:val="000000"/>
          <w:sz w:val="24"/>
          <w:u w:color="000000"/>
        </w:rPr>
        <w:t>realizacja elewacji z zastosowaniem nie więcej niż 3 rodzajów materiałów wykończeniowych (nie dotyczy obróbek blacharskich);</w:t>
      </w:r>
    </w:p>
    <w:p w14:paraId="3073DCA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8) </w:t>
      </w:r>
      <w:r w:rsidRPr="00C8752B">
        <w:rPr>
          <w:rFonts w:ascii="Arial" w:hAnsi="Arial" w:cs="Arial"/>
          <w:color w:val="000000"/>
          <w:sz w:val="24"/>
          <w:u w:color="000000"/>
        </w:rPr>
        <w:t>zakaz stosowania jako okładzin elewacyjnych:</w:t>
      </w:r>
    </w:p>
    <w:p w14:paraId="67E438BF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blach trapezowych, falistych i blachodachówki, płytek ceramicznych,</w:t>
      </w:r>
    </w:p>
    <w:p w14:paraId="3961E7EE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PCV/PCW, blach w ilości większej niż 30% powierzchni elewacji,</w:t>
      </w:r>
    </w:p>
    <w:p w14:paraId="7C0B688E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drewna i imitacji drewna w ilości większej niż 30% powierzchni elewacji;</w:t>
      </w:r>
    </w:p>
    <w:p w14:paraId="5CB6FA4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9)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jednolita kolorystyka stolarki okiennej i drzwiowej dla wszystkich budynków w ramach działki budowlanej;</w:t>
      </w:r>
    </w:p>
    <w:p w14:paraId="72AC8F2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10)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tymczasowych obiektów budowlanych, za wyjątkiem lokalizacji obiektów stanowiących zaplecze budowy związanej z inwestycją realizowaną na podstawie ustaleń planu;</w:t>
      </w:r>
    </w:p>
    <w:p w14:paraId="60FD5DD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11)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zapewnienie odpowiedniej ilości miejsc do parkowania w ramach działki budowlanej nie mniejszej niż:</w:t>
      </w:r>
    </w:p>
    <w:p w14:paraId="73067080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1 miejsce do parkowania na każde pełne 250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 powierzchni usługowej w tym handlowej (lecz nie mniej niż 1) oraz minimum 1 miejsce do parkowania przeznaczone na par</w:t>
      </w:r>
      <w:r w:rsidR="00C8752B">
        <w:rPr>
          <w:rFonts w:ascii="Arial" w:hAnsi="Arial" w:cs="Arial"/>
          <w:color w:val="000000"/>
          <w:sz w:val="24"/>
          <w:u w:color="000000"/>
        </w:rPr>
        <w:t xml:space="preserve">kowanie pojazdów zaopatrzonych </w:t>
      </w:r>
      <w:r w:rsidRPr="00C8752B">
        <w:rPr>
          <w:rFonts w:ascii="Arial" w:hAnsi="Arial" w:cs="Arial"/>
          <w:color w:val="000000"/>
          <w:sz w:val="24"/>
          <w:u w:color="000000"/>
        </w:rPr>
        <w:t>w kartę parkingową,</w:t>
      </w:r>
    </w:p>
    <w:p w14:paraId="5916C573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1 miejsce do parkowania na każdy lokal mieszkalny, przy czym dla funkcji mieszkaniowej nie ustala się obowiązku lokalizacji miejsc do parkowania dla pojazdów zaopatrzonych w kartę parkingową,</w:t>
      </w:r>
    </w:p>
    <w:p w14:paraId="59A1BCCB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w przypadku lokalizacji na działce funkcji mieszkaniowej oraz usługowej ustala się wyznaczenie miejsc do parkowania odpowiednio dla każdej z funkcji.</w:t>
      </w:r>
    </w:p>
    <w:p w14:paraId="2CD4A6CB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5. </w:t>
      </w:r>
      <w:r w:rsidRPr="00C8752B">
        <w:rPr>
          <w:rFonts w:ascii="Arial" w:hAnsi="Arial" w:cs="Arial"/>
          <w:color w:val="000000"/>
          <w:sz w:val="24"/>
          <w:u w:color="000000"/>
        </w:rPr>
        <w:t>Szczegółowe zasady i warunki scalania i podziału nieruchomości:</w:t>
      </w:r>
    </w:p>
    <w:p w14:paraId="750F749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nie ustala się obowiązku scalania i ponownego podziału nieruchomości;</w:t>
      </w:r>
    </w:p>
    <w:p w14:paraId="6CF7A8B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nie wyznacza się granic obszarów wymagających przeprowadzenia scaleń i podziałów nieruchomości;</w:t>
      </w:r>
    </w:p>
    <w:p w14:paraId="740FECE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parametry działek powstałych w wyniku scalania i podziału nieruchomości:</w:t>
      </w:r>
    </w:p>
    <w:p w14:paraId="220099A9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minimalna powierzchnia: 500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,</w:t>
      </w:r>
    </w:p>
    <w:p w14:paraId="0C13BB58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minimalna szerokość frontu: 17,0 m,</w:t>
      </w:r>
    </w:p>
    <w:p w14:paraId="6C06D55D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dowolny kąt położenia granic działek w stosunku do pasa drogowego.</w:t>
      </w:r>
    </w:p>
    <w:p w14:paraId="5D344C0A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6. </w:t>
      </w:r>
      <w:r w:rsidRPr="00C8752B">
        <w:rPr>
          <w:rFonts w:ascii="Arial" w:hAnsi="Arial" w:cs="Arial"/>
          <w:color w:val="000000"/>
          <w:sz w:val="24"/>
          <w:u w:color="000000"/>
        </w:rPr>
        <w:t>Zasady obsługi komunikacyjnej:</w:t>
      </w:r>
    </w:p>
    <w:p w14:paraId="3A56143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obsługa komunikacyjna z drogi 1KDW;</w:t>
      </w:r>
    </w:p>
    <w:p w14:paraId="13517F9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dostęp dla ruchu pieszego z terenu drogi lokalnej 1KDL dla działek przyległych do tego terenu.</w:t>
      </w:r>
    </w:p>
    <w:p w14:paraId="3899350D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7. </w:t>
      </w:r>
      <w:r w:rsidRPr="00C8752B">
        <w:rPr>
          <w:rFonts w:ascii="Arial" w:hAnsi="Arial" w:cs="Arial"/>
          <w:color w:val="000000"/>
          <w:sz w:val="24"/>
          <w:u w:color="000000"/>
        </w:rPr>
        <w:t>Warunki w zakresie infrastruktury technicznej ustalone w Dziale IV.</w:t>
      </w:r>
    </w:p>
    <w:p w14:paraId="68950218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9. 1. </w:t>
      </w:r>
      <w:r w:rsidRPr="00C8752B">
        <w:rPr>
          <w:rFonts w:ascii="Arial" w:hAnsi="Arial" w:cs="Arial"/>
          <w:color w:val="000000"/>
          <w:sz w:val="24"/>
          <w:u w:color="000000"/>
        </w:rPr>
        <w:t>Dla terenu oznaczonego na rysunku planu symbolem 4MŚ, ustala się następujące przeznaczenie - zabudowa wielofunkcyjna śródmiejska.</w:t>
      </w:r>
    </w:p>
    <w:p w14:paraId="377E52C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budynków mieszkalnych, usługowych z możliwością łączenia tych funkcji;</w:t>
      </w:r>
    </w:p>
    <w:p w14:paraId="043A39A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dopuszcza się lokalizację zabudowy mieszkaniowej jednorodzinnej za wyjątkiem działek nr </w:t>
      </w:r>
      <w:proofErr w:type="spellStart"/>
      <w:r w:rsidRPr="00C8752B">
        <w:rPr>
          <w:rFonts w:ascii="Arial" w:hAnsi="Arial" w:cs="Arial"/>
          <w:color w:val="000000"/>
          <w:sz w:val="24"/>
          <w:u w:color="000000"/>
        </w:rPr>
        <w:t>ewid</w:t>
      </w:r>
      <w:proofErr w:type="spellEnd"/>
      <w:r w:rsidRPr="00C8752B">
        <w:rPr>
          <w:rFonts w:ascii="Arial" w:hAnsi="Arial" w:cs="Arial"/>
          <w:color w:val="000000"/>
          <w:sz w:val="24"/>
          <w:u w:color="000000"/>
        </w:rPr>
        <w:t>. 254, 257 obręb 21;</w:t>
      </w:r>
    </w:p>
    <w:p w14:paraId="48C3106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dla istniejących budynków dopuszcza się przebudowę, nadbudowę, rozbudowę i zmianę sposobu użytkowania bez konieczności usytuowania budynku w obowiązującej linii zabudowy, przy czym dla istniejących części budynków zlokalizowanych pomiędzy ustaloną nieprzekraczalną linią zabudowy a terenami komunikacji dopuszcza się przebudowę i zmianę sposobu użytkowania na zasadach określonych w planie;</w:t>
      </w:r>
    </w:p>
    <w:p w14:paraId="7E5899C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usług polegających na składowaniu, magazynowaniu, przetwarzaniu, konfekcjonowaniu i obrocie handlowym kopalinami, kruszywami budowlanymi, ziemią, torfem, węglem opałowym we wszystkich postaciach, wszelkich odpadów w rozumieniu przepisów szczególnych oraz usług niewymagających obiektów kubaturowych, np.: parkingów, złomowisk, targowisk, itp.;</w:t>
      </w:r>
    </w:p>
    <w:p w14:paraId="281146A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stacji paliw, LPG, myjni samochodowych, stacji demontażu pojazdów;</w:t>
      </w:r>
    </w:p>
    <w:p w14:paraId="39CF83C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obiektów i tworzenia lokali o powierzchni sprzedaży przekraczającej 400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.</w:t>
      </w:r>
    </w:p>
    <w:p w14:paraId="68FE40DA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Zasady ochrony i kształtowania ładu przestrzennego:</w:t>
      </w:r>
    </w:p>
    <w:p w14:paraId="7D0ADEC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minimalną powierzchnię nowopowstałej działki budowlanej 500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.</w:t>
      </w:r>
    </w:p>
    <w:p w14:paraId="25128F75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3. </w:t>
      </w:r>
      <w:r w:rsidRPr="00C8752B">
        <w:rPr>
          <w:rFonts w:ascii="Arial" w:hAnsi="Arial" w:cs="Arial"/>
          <w:color w:val="000000"/>
          <w:sz w:val="24"/>
          <w:u w:color="000000"/>
        </w:rPr>
        <w:t>Warunki zagospodarowania działek:</w:t>
      </w:r>
    </w:p>
    <w:p w14:paraId="5416307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wskaźnik intensywności zabudowy:</w:t>
      </w:r>
    </w:p>
    <w:p w14:paraId="724EA244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od 0,2 do 2,6;</w:t>
      </w:r>
    </w:p>
    <w:p w14:paraId="4DB404C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maksymalny wskaźnik powierzchni zabudowy:</w:t>
      </w:r>
    </w:p>
    <w:p w14:paraId="0E2782A3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65%;</w:t>
      </w:r>
    </w:p>
    <w:p w14:paraId="1CCB59D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minimalny wskaźnik powierzchni biologicznie czynnej:</w:t>
      </w:r>
    </w:p>
    <w:p w14:paraId="40436B65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20%.</w:t>
      </w:r>
    </w:p>
    <w:p w14:paraId="757BE20C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4. </w:t>
      </w:r>
      <w:r w:rsidRPr="00C8752B">
        <w:rPr>
          <w:rFonts w:ascii="Arial" w:hAnsi="Arial" w:cs="Arial"/>
          <w:color w:val="000000"/>
          <w:sz w:val="24"/>
          <w:u w:color="000000"/>
        </w:rPr>
        <w:t>Warunki dla zabudowy:</w:t>
      </w:r>
    </w:p>
    <w:p w14:paraId="2C9BD6D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obowiązują ustalone na rysunku planu obowiązujące i nieprzekraczalne linie zabudowy z wyjątkiem §9 ust. 1 pkt 3;</w:t>
      </w:r>
    </w:p>
    <w:p w14:paraId="718D4F3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dla zabudowy lokalizowanej w obowiązującej linii zabudowy obowiązuje forma zabudowy frontowej;</w:t>
      </w:r>
    </w:p>
    <w:p w14:paraId="5524E6C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lokalizacja zabudowy frontowej w układzie kalenicowym – główna kalenica dachu równolegle do drogi;</w:t>
      </w:r>
    </w:p>
    <w:p w14:paraId="03B5DBB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zabudowy frontowej:</w:t>
      </w:r>
    </w:p>
    <w:p w14:paraId="72BB1EF9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lokalizowanej w obowiązującej linii zabudowy - 15,0 m; liczba kondygnacji naziemnych od 2, przy czym minimum 2 kondygnacje należy lokalizować w obowiązującej linii zabudowy,</w:t>
      </w:r>
    </w:p>
    <w:p w14:paraId="0FA01D56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lokalizowanej w nieprzekraczalnej linii zabudowy - 12,0 m,</w:t>
      </w:r>
    </w:p>
    <w:p w14:paraId="0C922EDB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podpiwniczenie budynków; których wyniesienie mierzone od poziomu terenu nie przekroczy 0,5 m;</w:t>
      </w:r>
    </w:p>
    <w:p w14:paraId="5F1C4D6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wysokość elewacji frontowej:</w:t>
      </w:r>
    </w:p>
    <w:p w14:paraId="5BD1DA41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lokalizowanej w obowiązującej linii zabudowy- od 6,5 m do 13,0 m;</w:t>
      </w:r>
    </w:p>
    <w:p w14:paraId="1CAEE328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lokalizowanej w nieprzekraczalnej linii zabudowy – do 8,0m;</w:t>
      </w:r>
    </w:p>
    <w:p w14:paraId="7C4D2C7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zabudowy oficynowej:</w:t>
      </w:r>
    </w:p>
    <w:p w14:paraId="37AF3D73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12 m;</w:t>
      </w:r>
    </w:p>
    <w:p w14:paraId="58D5406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budowli i urządzeń budowlanych:</w:t>
      </w:r>
    </w:p>
    <w:p w14:paraId="081501F8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15 m;</w:t>
      </w:r>
    </w:p>
    <w:p w14:paraId="28F94A4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8) </w:t>
      </w:r>
      <w:r w:rsidRPr="00C8752B">
        <w:rPr>
          <w:rFonts w:ascii="Arial" w:hAnsi="Arial" w:cs="Arial"/>
          <w:color w:val="000000"/>
          <w:sz w:val="24"/>
          <w:u w:color="000000"/>
        </w:rPr>
        <w:t>dachy:</w:t>
      </w:r>
    </w:p>
    <w:p w14:paraId="7EA4698D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w zabudowie frontowej obowiązują dwupołaciowe symetryczne (dwu- lub wielopołaciowe w narożnikach budynków) o kącie nachylenia - od 15° do 35° na trakcie o maksymalnej głębokości 14,0 m z możliwością stosowania lukarn i okien połaciowych (kąt nachylenia połaci nie dotyczy lukarn),</w:t>
      </w:r>
    </w:p>
    <w:p w14:paraId="0472308D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dla zabudowy oficynowej - dachy jedno, dwu lub wielopołaciowe o kącie nachylenia do 35°,</w:t>
      </w:r>
    </w:p>
    <w:p w14:paraId="2BBD3B1C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jednolite pokrycie dachów (pod względem użytego materiału) w ramach działki budowlanej,</w:t>
      </w:r>
    </w:p>
    <w:p w14:paraId="15916941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d) </w:t>
      </w:r>
      <w:r w:rsidRPr="00C8752B">
        <w:rPr>
          <w:rFonts w:ascii="Arial" w:hAnsi="Arial" w:cs="Arial"/>
          <w:color w:val="000000"/>
          <w:sz w:val="24"/>
          <w:u w:color="000000"/>
        </w:rPr>
        <w:t>pokrycie dachów budynków wyłącznie dachówką ceramiczną (w kolorze naturalnej, niebarwionej ceramiki) lub blachą (w kolorze odcieni stali i miedzi) z wyłączeniem blachodachówki,</w:t>
      </w:r>
    </w:p>
    <w:p w14:paraId="067FB26A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e) </w:t>
      </w:r>
      <w:r w:rsidRPr="00C8752B">
        <w:rPr>
          <w:rFonts w:ascii="Arial" w:hAnsi="Arial" w:cs="Arial"/>
          <w:color w:val="000000"/>
          <w:sz w:val="24"/>
          <w:u w:color="000000"/>
        </w:rPr>
        <w:t>nie ustala się rodzaju pokrycia dachów płaskich o kącie nachylenia połaci do 7°;</w:t>
      </w:r>
    </w:p>
    <w:p w14:paraId="6BEC512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9) </w:t>
      </w:r>
      <w:r w:rsidRPr="00C8752B">
        <w:rPr>
          <w:rFonts w:ascii="Arial" w:hAnsi="Arial" w:cs="Arial"/>
          <w:color w:val="000000"/>
          <w:sz w:val="24"/>
          <w:u w:color="000000"/>
        </w:rPr>
        <w:t>realizacja elewacji z zastosowaniem nie więcej niż 3 rodzajów materiałów wykończeniowych (nie dotyczy obróbek blacharskich);</w:t>
      </w:r>
    </w:p>
    <w:p w14:paraId="63F1BA9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10) </w:t>
      </w:r>
      <w:r w:rsidRPr="00C8752B">
        <w:rPr>
          <w:rFonts w:ascii="Arial" w:hAnsi="Arial" w:cs="Arial"/>
          <w:color w:val="000000"/>
          <w:sz w:val="24"/>
          <w:u w:color="000000"/>
        </w:rPr>
        <w:t>zakaz stosowania jako okładzin elewacyjnych:</w:t>
      </w:r>
    </w:p>
    <w:p w14:paraId="4B908EC5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blach trapezowych, falistych i blachodachówki, płytek ceramicznych,</w:t>
      </w:r>
    </w:p>
    <w:p w14:paraId="03C1F9D5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PCV/PCW, blach w ilości większej niż 30% powierzchni elewacji,</w:t>
      </w:r>
    </w:p>
    <w:p w14:paraId="439A00D3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drewna i imitacji drewna w ilości większej niż 30% powierzchni elewacji;</w:t>
      </w:r>
    </w:p>
    <w:p w14:paraId="061E6B1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11)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jednolita kolorystyka stolarki okiennej i drzwiowej dla wszystkich budynków w ramach działki budowlanej;</w:t>
      </w:r>
    </w:p>
    <w:p w14:paraId="57FEC29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12)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tymczasowych obiektów budowlanych, za wyjątkiem lokalizacji obiektów stanowiących zaplecze budowy związanej z inwestycją realizowaną na podstawie ustaleń planu;</w:t>
      </w:r>
    </w:p>
    <w:p w14:paraId="637C235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13)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zapewnienie odpowiedniej ilości miejsc do parkowania w ramach działki budowlanej nie mniejszej niż:</w:t>
      </w:r>
    </w:p>
    <w:p w14:paraId="2C65F1C4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1 miejsce do parkowania na każde pełne 250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 powierzchni usługowej w tym handlowej (lecz nie mniej niż 1) oraz minimum 1 miejsce do parkowania przeznaczone na parkowanie pojazdów zaopatrzonych w kartę parkingową,</w:t>
      </w:r>
    </w:p>
    <w:p w14:paraId="5DF8C883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0,5 miejsca do parkowania na każdy lokal mieszkalny, przy czym dla funkcji mieszkaniowej nie ustala się obowiązku lokalizacji miejsc do parkowania dla pojazdów zaopatrzonych w kartę parkingową,</w:t>
      </w:r>
    </w:p>
    <w:p w14:paraId="2C314167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w przypadku lokalizacji na działce funkcji mieszkaniowej oraz usługowej ustala się wyznaczenie miejsc do parkowania odpowiednio dla każdej z funkcji.</w:t>
      </w:r>
    </w:p>
    <w:p w14:paraId="78A6D0E6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5. </w:t>
      </w:r>
      <w:r w:rsidRPr="00C8752B">
        <w:rPr>
          <w:rFonts w:ascii="Arial" w:hAnsi="Arial" w:cs="Arial"/>
          <w:color w:val="000000"/>
          <w:sz w:val="24"/>
          <w:u w:color="000000"/>
        </w:rPr>
        <w:t>Szczegółowe zasady i warunki scalania i podziału nieruchomości:</w:t>
      </w:r>
    </w:p>
    <w:p w14:paraId="32A9088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nie ustala się obowiązku scalania i ponownego podziału nieruchomości;</w:t>
      </w:r>
    </w:p>
    <w:p w14:paraId="19B82DE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nie wyznacza się granic obszarów wymagających przeprowadzenia scaleń i podziałów nieruchomości;</w:t>
      </w:r>
    </w:p>
    <w:p w14:paraId="49C6E0F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parametry działek powstałych w wyniku scalania i podziału nieruchomości:</w:t>
      </w:r>
    </w:p>
    <w:p w14:paraId="6DB17E4E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minimalna powierzchnia: 500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,</w:t>
      </w:r>
    </w:p>
    <w:p w14:paraId="4D476BF9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minimalna szerokość frontu: 18,0 m,</w:t>
      </w:r>
    </w:p>
    <w:p w14:paraId="48061030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dowolny kąt położenia granic działek w stosunku do pasa drogowego.</w:t>
      </w:r>
    </w:p>
    <w:p w14:paraId="2BA7EE63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6. </w:t>
      </w:r>
      <w:r w:rsidRPr="00C8752B">
        <w:rPr>
          <w:rFonts w:ascii="Arial" w:hAnsi="Arial" w:cs="Arial"/>
          <w:color w:val="000000"/>
          <w:sz w:val="24"/>
          <w:u w:color="000000"/>
        </w:rPr>
        <w:t>Zasady obsługi komunikacyjnej:</w:t>
      </w:r>
    </w:p>
    <w:p w14:paraId="6471037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obsługa komunikacyjna z drogi 1KDL,1KDW;</w:t>
      </w:r>
    </w:p>
    <w:p w14:paraId="5E9F9CBD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7. </w:t>
      </w:r>
      <w:r w:rsidRPr="00C8752B">
        <w:rPr>
          <w:rFonts w:ascii="Arial" w:hAnsi="Arial" w:cs="Arial"/>
          <w:color w:val="000000"/>
          <w:sz w:val="24"/>
          <w:u w:color="000000"/>
        </w:rPr>
        <w:t>Warunki w zakresie infrastruktury technicznej ustalone w Dziale IV.</w:t>
      </w:r>
    </w:p>
    <w:p w14:paraId="2C4CDFB2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10. 1. </w:t>
      </w:r>
      <w:r w:rsidRPr="00C8752B">
        <w:rPr>
          <w:rFonts w:ascii="Arial" w:hAnsi="Arial" w:cs="Arial"/>
          <w:color w:val="000000"/>
          <w:sz w:val="24"/>
          <w:u w:color="000000"/>
        </w:rPr>
        <w:t>Dla terenu oznaczonego na rysunku planu symbolem 5MŚ, ustala się następujące przeznaczenie - zabudowa wielofunkcyjna śródmiejska.</w:t>
      </w:r>
    </w:p>
    <w:p w14:paraId="1C2E6BC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budynków mieszkalnych, usługowych z możliwością łączenia tych funkcji;</w:t>
      </w:r>
    </w:p>
    <w:p w14:paraId="3BE8BEE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dla działki budowlanej przylegającej do terenu 1KDL i 1Kx obowiązuje lokalizacja zabudowy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w obowiązującej linii zabudowy jednocześnie od strony terenu 1KDL i 1Kx;</w:t>
      </w:r>
    </w:p>
    <w:p w14:paraId="6AEF899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nowej zabudowy mieszkaniowej jednorodzinnej, za wyjątkiem przebudowy, nadbudowy, rozbudowy i zmiany sposobu użytkowania istniejących budynków;</w:t>
      </w:r>
    </w:p>
    <w:p w14:paraId="027D52A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dla istniejących budynków dopuszcza się przebudowę, nadbudowę, rozbudowę i zmianę sposobu użytkowania bez konieczności usytuowania budynku w obowiązującej linii zabudowy, przy czym dla istniejących części budynków zlokalizowanych pomiędzy ustaloną </w:t>
      </w:r>
      <w:r w:rsidR="00C8752B">
        <w:rPr>
          <w:rFonts w:ascii="Arial" w:hAnsi="Arial" w:cs="Arial"/>
          <w:color w:val="000000"/>
          <w:sz w:val="24"/>
          <w:u w:color="000000"/>
        </w:rPr>
        <w:t xml:space="preserve">nieprzekraczalną linią zabudowy </w:t>
      </w:r>
      <w:r w:rsidRPr="00C8752B">
        <w:rPr>
          <w:rFonts w:ascii="Arial" w:hAnsi="Arial" w:cs="Arial"/>
          <w:color w:val="000000"/>
          <w:sz w:val="24"/>
          <w:u w:color="000000"/>
        </w:rPr>
        <w:t>a terenami komunikacji dopuszcza się przebudowę i zmianę sposobu użytkowania na zasadach określonych w planie;</w:t>
      </w:r>
    </w:p>
    <w:p w14:paraId="1CD77A9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usług polegających na składowaniu, magazynowaniu, przetwarzaniu, konfekcjonowaniu i obrocie handlowym kopalinami, kruszywami budowlanymi, ziemią, torfem, węglem opałowym we wszystkich postaciach, wszelkich odpadów w rozumieniu przepisów szczególnych oraz usług niewymagających obiektów kubaturowych, np.: parkingów, złomowisk, targowisk, itp.;</w:t>
      </w:r>
    </w:p>
    <w:p w14:paraId="11871B7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stacji paliw, LPG, stacji demontażu pojazdów;</w:t>
      </w:r>
    </w:p>
    <w:p w14:paraId="0734C96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obiektów i tworzenia lokali o powierzchni sprzedaży przekraczającej 400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.</w:t>
      </w:r>
    </w:p>
    <w:p w14:paraId="0F1FE205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Zasady ochrony i kształtowania ładu przestrzennego:</w:t>
      </w:r>
    </w:p>
    <w:p w14:paraId="552E8C9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minimalną powierzchnię nowopowstałej działki budowlanej 500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2;</w:t>
      </w:r>
    </w:p>
    <w:p w14:paraId="75D5691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ustalenia pkt 1 nie dotyczą wydzielenia działek na potrzeby lokalizacji urządzeń infrastruktury technicznej.</w:t>
      </w:r>
    </w:p>
    <w:p w14:paraId="172D22BF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3. </w:t>
      </w:r>
      <w:r w:rsidRPr="00C8752B">
        <w:rPr>
          <w:rFonts w:ascii="Arial" w:hAnsi="Arial" w:cs="Arial"/>
          <w:color w:val="000000"/>
          <w:sz w:val="24"/>
          <w:u w:color="000000"/>
        </w:rPr>
        <w:t>Warunki zagospodarowania działek:</w:t>
      </w:r>
    </w:p>
    <w:p w14:paraId="399AC43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wskaźnik intensywności zabudowy:</w:t>
      </w:r>
    </w:p>
    <w:p w14:paraId="0167439D" w14:textId="77777777" w:rsidR="00A77B3E" w:rsidRPr="00C8752B" w:rsidRDefault="0080217F" w:rsidP="00C8752B">
      <w:pPr>
        <w:keepLines/>
        <w:spacing w:before="120" w:after="120" w:line="360" w:lineRule="auto"/>
        <w:ind w:left="22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– </w:t>
      </w:r>
      <w:r w:rsidRPr="00C8752B">
        <w:rPr>
          <w:rFonts w:ascii="Arial" w:hAnsi="Arial" w:cs="Arial"/>
          <w:color w:val="000000"/>
          <w:sz w:val="24"/>
          <w:u w:color="000000"/>
        </w:rPr>
        <w:t>od 0,1 do 2,8;</w:t>
      </w:r>
    </w:p>
    <w:p w14:paraId="71997D4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maksymalny wskaźnik powierzchni zabudowy:</w:t>
      </w:r>
    </w:p>
    <w:p w14:paraId="2868032F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70%;</w:t>
      </w:r>
    </w:p>
    <w:p w14:paraId="394EE0C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minimalny wskaźnik powierzchni biologicznie czynnej:</w:t>
      </w:r>
    </w:p>
    <w:p w14:paraId="2212807F" w14:textId="77777777" w:rsidR="00A77B3E" w:rsidRPr="00C8752B" w:rsidRDefault="0080217F" w:rsidP="00C8752B">
      <w:pPr>
        <w:keepLines/>
        <w:spacing w:before="120" w:after="120" w:line="360" w:lineRule="auto"/>
        <w:ind w:left="22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– </w:t>
      </w:r>
      <w:r w:rsidRPr="00C8752B">
        <w:rPr>
          <w:rFonts w:ascii="Arial" w:hAnsi="Arial" w:cs="Arial"/>
          <w:color w:val="000000"/>
          <w:sz w:val="24"/>
          <w:u w:color="000000"/>
        </w:rPr>
        <w:t>20%;</w:t>
      </w:r>
    </w:p>
    <w:p w14:paraId="3AD85D2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sytuowanie zabudowy w odległości 1,5 m od granicy lub bezpośrednio przy granicy z działką budowlaną;</w:t>
      </w:r>
    </w:p>
    <w:p w14:paraId="197B8DC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zabudowy oficynowej jako jedynego sposobu zagospodarowania działki budowlanej;</w:t>
      </w:r>
    </w:p>
    <w:p w14:paraId="33FA932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tymczasowych obiektów budowlanych.</w:t>
      </w:r>
    </w:p>
    <w:p w14:paraId="2EEC6882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4. </w:t>
      </w:r>
      <w:r w:rsidRPr="00C8752B">
        <w:rPr>
          <w:rFonts w:ascii="Arial" w:hAnsi="Arial" w:cs="Arial"/>
          <w:color w:val="000000"/>
          <w:sz w:val="24"/>
          <w:u w:color="000000"/>
        </w:rPr>
        <w:t>Warunki dla zabudowy:</w:t>
      </w:r>
    </w:p>
    <w:p w14:paraId="3E720A2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obowiązują ustalone na rysunku planu obowiązujące i nieprzekraczalne linie zabudowy z wyjątkiem §10 ust. 1 pkt 4;</w:t>
      </w:r>
    </w:p>
    <w:p w14:paraId="37FD877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dla zabudowy lokalizowanej w obowiązującej linii zabudowy obowiązuje forma zabudowy frontowej;</w:t>
      </w:r>
    </w:p>
    <w:p w14:paraId="1441AFC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lokalizacja budynków frontowych w układzie kalenicowym – główna kalenica dachu równolegle do drogi;</w:t>
      </w:r>
    </w:p>
    <w:p w14:paraId="370121D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zabudowy frontowej:</w:t>
      </w:r>
    </w:p>
    <w:p w14:paraId="417BDF97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15,0 m, liczba kondygnacji naziemnych od 2, przy czym minimum 2 kondygnacje należy lokalizować w obowiązującej linii zabudowy;</w:t>
      </w:r>
    </w:p>
    <w:p w14:paraId="483D7D52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podpiwniczenie budynków; których wyniesienie mierzone od poziomu terenu nie przekroczy 0,5 m;</w:t>
      </w:r>
    </w:p>
    <w:p w14:paraId="79FD87F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wysokość elewacji frontowej:</w:t>
      </w:r>
    </w:p>
    <w:p w14:paraId="0E56962F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od 6,5 m do 13,0 m;</w:t>
      </w:r>
    </w:p>
    <w:p w14:paraId="2ACC2F1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zabudowy oficynowej:</w:t>
      </w:r>
    </w:p>
    <w:p w14:paraId="7636562C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12,0 m;</w:t>
      </w:r>
    </w:p>
    <w:p w14:paraId="1D94BC4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budowli i urządzeń budowlanych:</w:t>
      </w:r>
    </w:p>
    <w:p w14:paraId="6E072DEE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15,0 m;</w:t>
      </w:r>
    </w:p>
    <w:p w14:paraId="2479EA4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8) </w:t>
      </w:r>
      <w:r w:rsidRPr="00C8752B">
        <w:rPr>
          <w:rFonts w:ascii="Arial" w:hAnsi="Arial" w:cs="Arial"/>
          <w:color w:val="000000"/>
          <w:sz w:val="24"/>
          <w:u w:color="000000"/>
        </w:rPr>
        <w:t>dachy:</w:t>
      </w:r>
    </w:p>
    <w:p w14:paraId="741CEE45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w zabudowie frontowej obowiązują dwupołaciowe symetryczne (dwu- lub wielopołaciowe w narożnikach budynków) o kącie nachylenia - od 15° do 35° na trakcie o maksymalnej głębokości 14,0 m z możliwością stosowania lukarn i okien połaciowych (kąt nachylenia połaci nie dotyczy lukarn),</w:t>
      </w:r>
    </w:p>
    <w:p w14:paraId="14EDB66B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dla zabudowy oficynowej - dachy jedno, dwu lub wielopołaciowe o kącie nachylenia do 35°,</w:t>
      </w:r>
    </w:p>
    <w:p w14:paraId="7E7BE954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jednolite pokrycie dachów (pod względem użytego materiału) w ramach działki budowlanej,</w:t>
      </w:r>
    </w:p>
    <w:p w14:paraId="72B34023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d) </w:t>
      </w:r>
      <w:r w:rsidRPr="00C8752B">
        <w:rPr>
          <w:rFonts w:ascii="Arial" w:hAnsi="Arial" w:cs="Arial"/>
          <w:color w:val="000000"/>
          <w:sz w:val="24"/>
          <w:u w:color="000000"/>
        </w:rPr>
        <w:t>pokrycie dachów budynków wyłącznie dachówką ceramiczną (w kolorze naturalnej, niebarwionej ceramiki) lub blachą (w kolorze odcieni stali i miedzi) z wyłączeniem blachodachówki, z możliwością zastosowania dachówki solarnej na maksymalnie 30% powierzchni połaci dachu,</w:t>
      </w:r>
    </w:p>
    <w:p w14:paraId="61B06C09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e) </w:t>
      </w:r>
      <w:r w:rsidRPr="00C8752B">
        <w:rPr>
          <w:rFonts w:ascii="Arial" w:hAnsi="Arial" w:cs="Arial"/>
          <w:color w:val="000000"/>
          <w:sz w:val="24"/>
          <w:u w:color="000000"/>
        </w:rPr>
        <w:t>nie ustala się rodzaju pokrycia dachów płaskich o kącie nachylenia połaci do 7°;</w:t>
      </w:r>
    </w:p>
    <w:p w14:paraId="482D6FB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9) </w:t>
      </w:r>
      <w:r w:rsidRPr="00C8752B">
        <w:rPr>
          <w:rFonts w:ascii="Arial" w:hAnsi="Arial" w:cs="Arial"/>
          <w:color w:val="000000"/>
          <w:sz w:val="24"/>
          <w:u w:color="000000"/>
        </w:rPr>
        <w:t>realizacja elewacji z zastosowaniem nie więcej niż 3 rodzajów materiałów wykończeniowych (nie dotyczy obróbek blacharskich);</w:t>
      </w:r>
    </w:p>
    <w:p w14:paraId="122355D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10) </w:t>
      </w:r>
      <w:r w:rsidRPr="00C8752B">
        <w:rPr>
          <w:rFonts w:ascii="Arial" w:hAnsi="Arial" w:cs="Arial"/>
          <w:color w:val="000000"/>
          <w:sz w:val="24"/>
          <w:u w:color="000000"/>
        </w:rPr>
        <w:t>w elewacji frontowej zakaz stosowania okładzin elewacyjnych: blach trapezowych, falistych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i blachodachówki, płytek ceramicznych, PCV/PCW, drewna i imitacji drewna;</w:t>
      </w:r>
    </w:p>
    <w:p w14:paraId="709FC4F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11) </w:t>
      </w:r>
      <w:r w:rsidRPr="00C8752B">
        <w:rPr>
          <w:rFonts w:ascii="Arial" w:hAnsi="Arial" w:cs="Arial"/>
          <w:color w:val="000000"/>
          <w:sz w:val="24"/>
          <w:u w:color="000000"/>
        </w:rPr>
        <w:t>w elewacjach budynków (poza elewacja frontową) zakaz stosowania jako okładzin elewacyjnych:</w:t>
      </w:r>
    </w:p>
    <w:p w14:paraId="3C54C8C5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blach trapezowych, falistych i blachodachówki, płytek ceramicznych,</w:t>
      </w:r>
    </w:p>
    <w:p w14:paraId="1BA70383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PCV/PCW, blach w ilości większej niż 30% powierzchni elewacji,</w:t>
      </w:r>
    </w:p>
    <w:p w14:paraId="713E792D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drewna i imitacji drewna w ilości większej niż 30% powierzchni elewacji;</w:t>
      </w:r>
    </w:p>
    <w:p w14:paraId="04BBA33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12)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jednolita kolorystyka stolarki okiennej i drzwiowej dla wszystkich budynków w ramach działki budowlanej;</w:t>
      </w:r>
    </w:p>
    <w:p w14:paraId="2D71562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13)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zakaz lokalizacji wjazdów do indywidualnych garaży w elewacji frontowej od strony drogi publicznej 1KDL;</w:t>
      </w:r>
    </w:p>
    <w:p w14:paraId="7003534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14)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tymczasowych obiektów budowlanych, za wyjątkiem lokalizacji obiektów stanowiących zaplecze budowy związanej z inwestycją realizowaną na podstawie ustaleń planu;</w:t>
      </w:r>
    </w:p>
    <w:p w14:paraId="4A9F030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15)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zapewnienie odpowiedniej ilości miejsc do parkowania w ramach działki budowlanej nie mniejszej niż:</w:t>
      </w:r>
    </w:p>
    <w:p w14:paraId="514489A6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1 miejsce do parkowania na każde pełne 100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 powierzchni usługowej w tym handlowej (lecz nie mniej niż 1) oraz minimum 1 miejsce do parkowania przeznaczone na parkowanie pojazdów zaopatrzonych w kartę parkingową,</w:t>
      </w:r>
    </w:p>
    <w:p w14:paraId="4D61782D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1 miejsce do parkowania na każdy lokal mieszkalny, przy czym dla funkcji mieszkaniowej nie ustala się obowiązku lokalizacji miejsc do parkowania dla pojazdów zaopatrzonych w kartę parkingową,</w:t>
      </w:r>
    </w:p>
    <w:p w14:paraId="2F4C2C24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w przypadku lokalizacji na działce funkcji mieszkaniowej oraz usługowej ustala się wyznaczenie miejsc do parkowania odpowiednio dla każdej z funkcji.</w:t>
      </w:r>
    </w:p>
    <w:p w14:paraId="18463A18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5. </w:t>
      </w:r>
      <w:r w:rsidRPr="00C8752B">
        <w:rPr>
          <w:rFonts w:ascii="Arial" w:hAnsi="Arial" w:cs="Arial"/>
          <w:color w:val="000000"/>
          <w:sz w:val="24"/>
          <w:u w:color="000000"/>
        </w:rPr>
        <w:t>Szczegółowe zasady i warunki scalania i podziału nieruchomości:</w:t>
      </w:r>
    </w:p>
    <w:p w14:paraId="592F7C7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nie ustala się obowiązku scalania i ponownego podziału nieruchomości;</w:t>
      </w:r>
    </w:p>
    <w:p w14:paraId="0DC6C19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nie wyznacza się granic obszarów wymagających przeprowadzenia scaleń i podziałów nieruchomości;</w:t>
      </w:r>
    </w:p>
    <w:p w14:paraId="1CFD87F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parametry działek powstałych w wyniku scalania i podziału nieruchomości:</w:t>
      </w:r>
    </w:p>
    <w:p w14:paraId="4555B47F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minimalna powierzchnia: 500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,</w:t>
      </w:r>
    </w:p>
    <w:p w14:paraId="03FA3499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minimalna szerokość frontu: 13,0 m,</w:t>
      </w:r>
    </w:p>
    <w:p w14:paraId="30C0777F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dowolny kąt położenia granic działek w stosunku do pasa drogowego.</w:t>
      </w:r>
    </w:p>
    <w:p w14:paraId="62B51987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6. </w:t>
      </w:r>
      <w:r w:rsidRPr="00C8752B">
        <w:rPr>
          <w:rFonts w:ascii="Arial" w:hAnsi="Arial" w:cs="Arial"/>
          <w:color w:val="000000"/>
          <w:sz w:val="24"/>
          <w:u w:color="000000"/>
        </w:rPr>
        <w:t>Zasady obsługi komunikacyjnej:</w:t>
      </w:r>
    </w:p>
    <w:p w14:paraId="58A13A7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obsługa komunikacyjna z przyległych dróg: 1KDL i ul. M. Skłodowskiej – Curie zlokalizowanej poza obszarem planu;</w:t>
      </w:r>
    </w:p>
    <w:p w14:paraId="3C4BD83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dostęp dla ruchu pieszego z przyległego terenu ciągu pieszego 1Kx dla działek przyległych do tego terenu.</w:t>
      </w:r>
    </w:p>
    <w:p w14:paraId="44B1B328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7. </w:t>
      </w:r>
      <w:r w:rsidRPr="00C8752B">
        <w:rPr>
          <w:rFonts w:ascii="Arial" w:hAnsi="Arial" w:cs="Arial"/>
          <w:color w:val="000000"/>
          <w:sz w:val="24"/>
          <w:u w:color="000000"/>
        </w:rPr>
        <w:t>Warunki w zakresie infrastruktury technicznej ustalone w Dziale IV.</w:t>
      </w:r>
    </w:p>
    <w:p w14:paraId="7032D9D3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11. 1. </w:t>
      </w:r>
      <w:r w:rsidRPr="00C8752B">
        <w:rPr>
          <w:rFonts w:ascii="Arial" w:hAnsi="Arial" w:cs="Arial"/>
          <w:color w:val="000000"/>
          <w:sz w:val="24"/>
          <w:u w:color="000000"/>
        </w:rPr>
        <w:t>Dla terenu oznaczonego na rysunku planu symbolem 1U, ustala się następujące przeznaczenie - zabudowa usługowa.</w:t>
      </w:r>
    </w:p>
    <w:p w14:paraId="69DB5AC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budynków usługowych w tym handlu;</w:t>
      </w:r>
    </w:p>
    <w:p w14:paraId="1F35758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dla istniejących budynków dopuszcza się przebudowę, nadbudowę, rozbudowę i zmianę sposobu użytkowania;</w:t>
      </w:r>
    </w:p>
    <w:p w14:paraId="60EBA17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usług polegających na składowaniu, magazynowaniu, przetwarzaniu, konfekcjonowaniu i obrocie handlowym kopalinami, kruszywami budowlanymi, ziemią, torfem, węglem opałowym we wszystkich postaciach, wszelkich odpadów w rozumieniu przepisów szczególnych oraz usług niewymagających obiektów kubaturowych, np.: parkingów, złomowisk, targowisk, itp.;</w:t>
      </w:r>
    </w:p>
    <w:p w14:paraId="4A9DA2F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stacji paliw, LPG, myjni samochodowych, stacji demontażu pojazdów;</w:t>
      </w:r>
    </w:p>
    <w:p w14:paraId="1C812CE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zakazuje się lokalizacji obiektów i tworzenia lokali o powierzchni sprzedaży przekraczającej 400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.</w:t>
      </w:r>
    </w:p>
    <w:p w14:paraId="22A37D18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Zasady ochrony i kształtowania ładu przestrzennego:</w:t>
      </w:r>
    </w:p>
    <w:p w14:paraId="7502D4E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minimalną powierzchnię nowopowstałej działki budowlanej 500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.</w:t>
      </w:r>
    </w:p>
    <w:p w14:paraId="08ADFA23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3. </w:t>
      </w:r>
      <w:r w:rsidRPr="00C8752B">
        <w:rPr>
          <w:rFonts w:ascii="Arial" w:hAnsi="Arial" w:cs="Arial"/>
          <w:color w:val="000000"/>
          <w:sz w:val="24"/>
          <w:u w:color="000000"/>
        </w:rPr>
        <w:t>Warunki zagospodarowania działek:</w:t>
      </w:r>
    </w:p>
    <w:p w14:paraId="1561B2F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wskaźnik intensywności zabudowy:</w:t>
      </w:r>
    </w:p>
    <w:p w14:paraId="601B3B37" w14:textId="77777777" w:rsidR="00A77B3E" w:rsidRPr="00C8752B" w:rsidRDefault="0080217F" w:rsidP="00C8752B">
      <w:pPr>
        <w:keepLines/>
        <w:spacing w:before="120" w:after="120" w:line="360" w:lineRule="auto"/>
        <w:ind w:left="22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– </w:t>
      </w:r>
      <w:r w:rsidRPr="00C8752B">
        <w:rPr>
          <w:rFonts w:ascii="Arial" w:hAnsi="Arial" w:cs="Arial"/>
          <w:color w:val="000000"/>
          <w:sz w:val="24"/>
          <w:u w:color="000000"/>
        </w:rPr>
        <w:t>od 0,4 do 2,8;</w:t>
      </w:r>
    </w:p>
    <w:p w14:paraId="0FBBA17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maksymalny wskaźnik powierzchni zabudowy:</w:t>
      </w:r>
    </w:p>
    <w:p w14:paraId="2C2F49EC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70%;</w:t>
      </w:r>
    </w:p>
    <w:p w14:paraId="2D33B2D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minimalny wskaźnik powierzchni biologicznie czynnej:</w:t>
      </w:r>
    </w:p>
    <w:p w14:paraId="336075E3" w14:textId="77777777" w:rsidR="00A77B3E" w:rsidRPr="00C8752B" w:rsidRDefault="0080217F" w:rsidP="00C8752B">
      <w:pPr>
        <w:keepLines/>
        <w:spacing w:before="120" w:after="120" w:line="360" w:lineRule="auto"/>
        <w:ind w:left="22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– </w:t>
      </w:r>
      <w:r w:rsidRPr="00C8752B">
        <w:rPr>
          <w:rFonts w:ascii="Arial" w:hAnsi="Arial" w:cs="Arial"/>
          <w:color w:val="000000"/>
          <w:sz w:val="24"/>
          <w:u w:color="000000"/>
        </w:rPr>
        <w:t>10%;</w:t>
      </w:r>
    </w:p>
    <w:p w14:paraId="16975D8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sytuowanie zabudowy w odległości 1,5 m od granicy lub bezpośrednio przy granicy z działką budowlaną;</w:t>
      </w:r>
    </w:p>
    <w:p w14:paraId="47EB081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tymczasowych obiektów budowlanych.</w:t>
      </w:r>
    </w:p>
    <w:p w14:paraId="1EA309BE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4. </w:t>
      </w:r>
      <w:r w:rsidRPr="00C8752B">
        <w:rPr>
          <w:rFonts w:ascii="Arial" w:hAnsi="Arial" w:cs="Arial"/>
          <w:color w:val="000000"/>
          <w:sz w:val="24"/>
          <w:u w:color="000000"/>
        </w:rPr>
        <w:t>Warunki dla zabudowy:</w:t>
      </w:r>
    </w:p>
    <w:p w14:paraId="6FB9834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budynków nie spełniających ustaleń obwiązującej linii zabudowy;</w:t>
      </w:r>
    </w:p>
    <w:p w14:paraId="3AED4E8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lokalizacja budynków w układzie kalenicowym – główna kalenica dachu równolegle do drogi;</w:t>
      </w:r>
    </w:p>
    <w:p w14:paraId="3CEA328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zabudowy:</w:t>
      </w:r>
    </w:p>
    <w:p w14:paraId="7FA19306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13,0 m, liczba kondygnacji naziemnych od 2, przy czym minimum 2 kondygnacje należy lokalizować w obowiązującej linii zabudowy;</w:t>
      </w:r>
    </w:p>
    <w:p w14:paraId="7492448A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podpiwniczenie budynków, których wyniesienie mierzone od poziomu terenu nie przekroczy 0,5 m;</w:t>
      </w:r>
    </w:p>
    <w:p w14:paraId="2A5C499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wysokość elewacji frontowej:</w:t>
      </w:r>
    </w:p>
    <w:p w14:paraId="3180B9AB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od 6,5 m do 10,0 m;</w:t>
      </w:r>
    </w:p>
    <w:p w14:paraId="325FA05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budowli i urządzeń budowlanych:</w:t>
      </w:r>
    </w:p>
    <w:p w14:paraId="19975E43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13,0 m;</w:t>
      </w:r>
    </w:p>
    <w:p w14:paraId="5F07E15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dachy:</w:t>
      </w:r>
    </w:p>
    <w:p w14:paraId="4C5CBEDD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dachy dwupołaciowe symetryczne (dwu- lub wielopołaciowe w narożnikach budynków) o kącie nachylenia - od 15° do 35° na trakcie o maksymalnej głębokości 14,0 m z możliwością stosowania okien połaciowych,</w:t>
      </w:r>
    </w:p>
    <w:p w14:paraId="1D131295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dachy płaskie o kącie nachylenia do 7° przesłonięte attyką od strony terenów dróg publicznych i zieleni urządzonej,</w:t>
      </w:r>
    </w:p>
    <w:p w14:paraId="7FBC9FFD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jednolite pokrycie dachów (pod względem użytego materiału) w ramach działki budowlanej,</w:t>
      </w:r>
    </w:p>
    <w:p w14:paraId="0252A027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d) </w:t>
      </w:r>
      <w:r w:rsidRPr="00C8752B">
        <w:rPr>
          <w:rFonts w:ascii="Arial" w:hAnsi="Arial" w:cs="Arial"/>
          <w:color w:val="000000"/>
          <w:sz w:val="24"/>
          <w:u w:color="000000"/>
        </w:rPr>
        <w:t>pokrycie dachów budynków wyłącznie dachówką ceramiczną (w kolorze naturalnej, niebarwionej ceramiki) lub blachą (w kolorze odcieni stali i miedzi) z wyłączeniem blachodachówki, z możliwością zastosowania dachówki solarnej na maksymalnie 30% powierzchni połaci dachu,</w:t>
      </w:r>
    </w:p>
    <w:p w14:paraId="36D6B9BB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e) </w:t>
      </w:r>
      <w:r w:rsidRPr="00C8752B">
        <w:rPr>
          <w:rFonts w:ascii="Arial" w:hAnsi="Arial" w:cs="Arial"/>
          <w:color w:val="000000"/>
          <w:sz w:val="24"/>
          <w:u w:color="000000"/>
        </w:rPr>
        <w:t>nie ustala się rodzaju pokrycia dachów płaskich o kącie nachylenia połaci do 7°;</w:t>
      </w:r>
    </w:p>
    <w:p w14:paraId="66A0124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7) </w:t>
      </w:r>
      <w:r w:rsidRPr="00C8752B">
        <w:rPr>
          <w:rFonts w:ascii="Arial" w:hAnsi="Arial" w:cs="Arial"/>
          <w:color w:val="000000"/>
          <w:sz w:val="24"/>
          <w:u w:color="000000"/>
        </w:rPr>
        <w:t>realizacja elewacji z zastosowaniem nie więcej niż 3 rodzajów materiałów wykończeniowych (nie dotyczy obróbek blacharskich);</w:t>
      </w:r>
    </w:p>
    <w:p w14:paraId="25EAFCE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8) </w:t>
      </w:r>
      <w:r w:rsidRPr="00C8752B">
        <w:rPr>
          <w:rFonts w:ascii="Arial" w:hAnsi="Arial" w:cs="Arial"/>
          <w:color w:val="000000"/>
          <w:sz w:val="24"/>
          <w:u w:color="000000"/>
        </w:rPr>
        <w:t>w elewacji frontowej:</w:t>
      </w:r>
    </w:p>
    <w:p w14:paraId="42F3DC3D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zakaz stosowania okładzin elewacyjnych: blach trapezowych, falistych i blachodachówki, płytek ceramicznych, PCV/PCW, drewna i imitacji drewna,</w:t>
      </w:r>
    </w:p>
    <w:p w14:paraId="2054F936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obowiązek realizacji powierzchni przeszkleń (witryn, okien itp.) na minimum 30% powierzchni elewacji;</w:t>
      </w:r>
    </w:p>
    <w:p w14:paraId="76E9596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9) </w:t>
      </w:r>
      <w:r w:rsidRPr="00C8752B">
        <w:rPr>
          <w:rFonts w:ascii="Arial" w:hAnsi="Arial" w:cs="Arial"/>
          <w:color w:val="000000"/>
          <w:sz w:val="24"/>
          <w:u w:color="000000"/>
        </w:rPr>
        <w:t>w elewacjach budynków (poza elewacja frontową) zakaz stosowania jako okładzin elewacyjnych:</w:t>
      </w:r>
    </w:p>
    <w:p w14:paraId="71183EAD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blach trapezowych, falistych i blachodachówki, płytek ceramicznych,</w:t>
      </w:r>
    </w:p>
    <w:p w14:paraId="4A2966C3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PCV/PCW, blach w ilości większej niż 30% powierzchni elewacji,</w:t>
      </w:r>
    </w:p>
    <w:p w14:paraId="315820AE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drewna i imitacji drewna w ilości większej niż 30% powierzchni elewacji;</w:t>
      </w:r>
    </w:p>
    <w:p w14:paraId="1CEA84E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10)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jednolita kolorystyka stolarki okiennej i drzwiowej dla wszystkich budynków w ramach działki budowlanej;</w:t>
      </w:r>
    </w:p>
    <w:p w14:paraId="6BF8AB7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11)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zakaz lokalizacji wjazdów do indywidualnych garaży w elewacji frontowej od strony drogi publicznej 1KDL;</w:t>
      </w:r>
    </w:p>
    <w:p w14:paraId="3DD7CF0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12)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tymczasowych obiektów budowlanych, za wyjątkiem lokalizacji obiektów stanowiących zaplecze budowy związanej z inwestycją realizowaną na podstawie ustaleń planu;</w:t>
      </w:r>
    </w:p>
    <w:p w14:paraId="1B2CFEC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13)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zapewnienie odpowiedniej ilości miejsc do parkowania w ramach działki budowlanej nie mniejszej niż 1 miejsce do parkowania na każde pełne 200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 powierzchni usługowej w tym handlowej (lecz nie mniej niż 1) oraz minimum 1 miejsce do parkowania przeznaczone na parkowanie pojazdów zaopatrzonych w kartę parkingową.</w:t>
      </w:r>
    </w:p>
    <w:p w14:paraId="2835FE18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5. </w:t>
      </w:r>
      <w:r w:rsidRPr="00C8752B">
        <w:rPr>
          <w:rFonts w:ascii="Arial" w:hAnsi="Arial" w:cs="Arial"/>
          <w:color w:val="000000"/>
          <w:sz w:val="24"/>
          <w:u w:color="000000"/>
        </w:rPr>
        <w:t>Szczegółowe zasady i warunki scalania i podziału nieruchomości:</w:t>
      </w:r>
    </w:p>
    <w:p w14:paraId="3A61993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nie ustala się obowiązku scalania i ponownego podziału nieruchomości;</w:t>
      </w:r>
    </w:p>
    <w:p w14:paraId="4D408DA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nie wyznacza się granic obszarów wymagających przeprowadzenia scaleń i podziałów nieruchomości;</w:t>
      </w:r>
    </w:p>
    <w:p w14:paraId="408821D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parametry działek powstałych w wyniku scalania i podziału nieruchomości:</w:t>
      </w:r>
    </w:p>
    <w:p w14:paraId="418799A3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minimalna powierzchnia: 500 m</w:t>
      </w:r>
      <w:r w:rsidRPr="00C8752B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8752B">
        <w:rPr>
          <w:rFonts w:ascii="Arial" w:hAnsi="Arial" w:cs="Arial"/>
          <w:color w:val="000000"/>
          <w:sz w:val="24"/>
          <w:u w:color="000000"/>
        </w:rPr>
        <w:t>,</w:t>
      </w:r>
    </w:p>
    <w:p w14:paraId="0A1DDC35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minimalna szerokość frontu: 18,0 m,</w:t>
      </w:r>
    </w:p>
    <w:p w14:paraId="36959680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dowolny kąt położenia granic działek w stosunku do pasa drogowego.</w:t>
      </w:r>
    </w:p>
    <w:p w14:paraId="23BB7DA6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6. </w:t>
      </w:r>
      <w:r w:rsidRPr="00C8752B">
        <w:rPr>
          <w:rFonts w:ascii="Arial" w:hAnsi="Arial" w:cs="Arial"/>
          <w:color w:val="000000"/>
          <w:sz w:val="24"/>
          <w:u w:color="000000"/>
        </w:rPr>
        <w:t>Zasady obsługi komunikacyjnej:</w:t>
      </w:r>
    </w:p>
    <w:p w14:paraId="6AD0184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obsługa komunikacyjna z przyległych dróg: 1KDL i ul. M. Skłodowskiej- Curie zlokalizowanej poza obszarem planu;</w:t>
      </w:r>
    </w:p>
    <w:p w14:paraId="4C4046D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dostęp dla ruchu pieszego z przyległego terenu 3ZP dla działek przyległych do tego terenu.</w:t>
      </w:r>
    </w:p>
    <w:p w14:paraId="58EB7BDA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7. </w:t>
      </w:r>
      <w:r w:rsidRPr="00C8752B">
        <w:rPr>
          <w:rFonts w:ascii="Arial" w:hAnsi="Arial" w:cs="Arial"/>
          <w:color w:val="000000"/>
          <w:sz w:val="24"/>
          <w:u w:color="000000"/>
        </w:rPr>
        <w:t>Warunki w zakresie infrastruktury technicznej ustalone w Dziale IV.</w:t>
      </w:r>
    </w:p>
    <w:p w14:paraId="5CFB45CA" w14:textId="77777777" w:rsidR="00A77B3E" w:rsidRPr="00C8752B" w:rsidRDefault="0080217F" w:rsidP="00C8752B">
      <w:pPr>
        <w:keepNext/>
        <w:keepLines/>
        <w:spacing w:line="360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Rozdział 2.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USTALENIA DOTYCZĄCE TERENÓW ZIELENI I WÓD</w:t>
      </w:r>
    </w:p>
    <w:p w14:paraId="2EB1504B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12. 1. </w:t>
      </w:r>
      <w:r w:rsidRPr="00C8752B">
        <w:rPr>
          <w:rFonts w:ascii="Arial" w:hAnsi="Arial" w:cs="Arial"/>
          <w:color w:val="000000"/>
          <w:sz w:val="24"/>
          <w:u w:color="000000"/>
        </w:rPr>
        <w:t>Wyznacza się teren oznaczony na rysunku planu symbolem 1ZP, 2ZP, 3ZP z podstawowym przeznaczaniem - zieleń urządzona.</w:t>
      </w:r>
    </w:p>
    <w:p w14:paraId="63621507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Jako przeznaczenie dopuszczalne ustala się możliwość lokalizacji obiektów i urządzeń:</w:t>
      </w:r>
    </w:p>
    <w:p w14:paraId="44CD87D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sieci i urządzeń infrastruktury technicznej związanych z zagospodarowaniem terenu o maksymalnej wysokości 5,0 m;</w:t>
      </w:r>
    </w:p>
    <w:p w14:paraId="1BE0CB8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ścieżek rowerowych i ciągów pieszych.</w:t>
      </w:r>
    </w:p>
    <w:p w14:paraId="19EBAE2A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3. </w:t>
      </w:r>
      <w:r w:rsidRPr="00C8752B">
        <w:rPr>
          <w:rFonts w:ascii="Arial" w:hAnsi="Arial" w:cs="Arial"/>
          <w:color w:val="000000"/>
          <w:sz w:val="24"/>
          <w:u w:color="000000"/>
        </w:rPr>
        <w:t>Zasady ochrony i kształtowania ładu przestrzennego:</w:t>
      </w:r>
    </w:p>
    <w:p w14:paraId="018551B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budynków;</w:t>
      </w:r>
    </w:p>
    <w:p w14:paraId="729D4FE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tymczasowych obiektów budowlanych innych niż wymienione §5 ust. 4 pkt 5;</w:t>
      </w:r>
    </w:p>
    <w:p w14:paraId="180FD42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lokalizację sieci i obiektów infrastruktury technicznej.</w:t>
      </w:r>
    </w:p>
    <w:p w14:paraId="324B6D48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4. </w:t>
      </w:r>
      <w:r w:rsidRPr="00C8752B">
        <w:rPr>
          <w:rFonts w:ascii="Arial" w:hAnsi="Arial" w:cs="Arial"/>
          <w:color w:val="000000"/>
          <w:sz w:val="24"/>
          <w:u w:color="000000"/>
        </w:rPr>
        <w:t>Zasady zagospodarowania terenu:</w:t>
      </w:r>
    </w:p>
    <w:p w14:paraId="12AC401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lokalizację ciągów pieszych i ścieżek rowerowych;</w:t>
      </w:r>
    </w:p>
    <w:p w14:paraId="7522AF0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minimalny udział powierzchni biologicznie czynnej w odniesieniu do powierzchni działki budowlanej: 70%.</w:t>
      </w:r>
    </w:p>
    <w:p w14:paraId="4EA0A99B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5. </w:t>
      </w:r>
      <w:r w:rsidRPr="00C8752B">
        <w:rPr>
          <w:rFonts w:ascii="Arial" w:hAnsi="Arial" w:cs="Arial"/>
          <w:color w:val="000000"/>
          <w:sz w:val="24"/>
          <w:u w:color="000000"/>
        </w:rPr>
        <w:t>Zasady obsługi komunikacyjnej:</w:t>
      </w:r>
    </w:p>
    <w:p w14:paraId="04977D0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dla terenu 1ZP z drogi publicznej: dojazdowej oznaczonej na rysunku planu symbolem 1KDD;</w:t>
      </w:r>
    </w:p>
    <w:p w14:paraId="42A4F1C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dla terenu 2ZP z dróg publicznych zbiorczych oznaczonych na rysunku planu symbolem 2KDZ;</w:t>
      </w:r>
    </w:p>
    <w:p w14:paraId="4CDB3C0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dla terenu 3ZP z ul. M. Skłodowskiej- Curie zlokalizowanej poza obszarem planu.</w:t>
      </w:r>
    </w:p>
    <w:p w14:paraId="119A93E4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6. </w:t>
      </w:r>
      <w:r w:rsidRPr="00C8752B">
        <w:rPr>
          <w:rFonts w:ascii="Arial" w:hAnsi="Arial" w:cs="Arial"/>
          <w:color w:val="000000"/>
          <w:sz w:val="24"/>
          <w:u w:color="000000"/>
        </w:rPr>
        <w:t>Warunki w zakresie infrastruktury technicznej ustalone w Dziale IV.</w:t>
      </w:r>
    </w:p>
    <w:p w14:paraId="72283FE8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13. 1. </w:t>
      </w:r>
      <w:r w:rsidRPr="00C8752B">
        <w:rPr>
          <w:rFonts w:ascii="Arial" w:hAnsi="Arial" w:cs="Arial"/>
          <w:color w:val="000000"/>
          <w:sz w:val="24"/>
          <w:u w:color="000000"/>
        </w:rPr>
        <w:t>Wyznacza się teren oznaczony na rysunku planu symbolem 1WS z podstawowym przeznaczaniem – teren wód powierzchniowych śródlądowych – rzeka Strawa.</w:t>
      </w:r>
    </w:p>
    <w:p w14:paraId="0D289C53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Jako przeznaczenie dopuszczalne ustala się:</w:t>
      </w:r>
    </w:p>
    <w:p w14:paraId="6A01C52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lokalizację budowli i urządzeń związanych z gospodarką wodną i ochroną przeciwpowodziową;</w:t>
      </w:r>
    </w:p>
    <w:p w14:paraId="60F4B74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lokalizację dróg wyłącznie poza istniejącym odkrytym korytem rzeki Strawy;</w:t>
      </w:r>
    </w:p>
    <w:p w14:paraId="2727869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zachowanie istniejącego mostu z możliwością jego remontów, przebudowy, rozbudowy i odbudowy;</w:t>
      </w:r>
    </w:p>
    <w:p w14:paraId="3263355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zmianę przebiegu zamkniętego koryta rzeki;</w:t>
      </w:r>
    </w:p>
    <w:p w14:paraId="2302D07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zakaz przekrywania istniejącego odkrytego koryta rzeki Strawy;</w:t>
      </w:r>
    </w:p>
    <w:p w14:paraId="3E04D22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lokalizację sieci i urządzeń infrastruktury technicznej.</w:t>
      </w:r>
    </w:p>
    <w:p w14:paraId="59FF0958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3. </w:t>
      </w:r>
      <w:r w:rsidRPr="00C8752B">
        <w:rPr>
          <w:rFonts w:ascii="Arial" w:hAnsi="Arial" w:cs="Arial"/>
          <w:color w:val="000000"/>
          <w:sz w:val="24"/>
          <w:u w:color="000000"/>
        </w:rPr>
        <w:t>Dla terenu oznaczonego symbolem 1WS nie ustala się parametrów i wskaźników kształtowania zabudowy:</w:t>
      </w:r>
    </w:p>
    <w:p w14:paraId="28165361" w14:textId="77777777" w:rsidR="00A77B3E" w:rsidRPr="00C8752B" w:rsidRDefault="0080217F" w:rsidP="00C8752B">
      <w:pPr>
        <w:keepNext/>
        <w:keepLines/>
        <w:spacing w:line="360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Rozdział 3.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USTALENIA DOTYCZĄCE TERENU INFRASTRUKTURY TECHNICZNEJ</w:t>
      </w:r>
    </w:p>
    <w:p w14:paraId="7B8984FB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14. 1. </w:t>
      </w:r>
      <w:r w:rsidRPr="00C8752B">
        <w:rPr>
          <w:rFonts w:ascii="Arial" w:hAnsi="Arial" w:cs="Arial"/>
          <w:color w:val="000000"/>
          <w:sz w:val="24"/>
          <w:u w:color="000000"/>
        </w:rPr>
        <w:t>Wyznacza się teren oznaczony na rysunku planu symbolem 1E z podstawowym przeznaczaniem – teren infrastruktury technicznej - elektroenergetyka.</w:t>
      </w:r>
    </w:p>
    <w:p w14:paraId="65BF7BB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stacji transformatorowej, sieci i urządzeń infrastruktury technicznej.</w:t>
      </w:r>
    </w:p>
    <w:p w14:paraId="7DFA9A29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Zasady zagospodarowania działki:</w:t>
      </w:r>
    </w:p>
    <w:p w14:paraId="11F8FFF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wskaźnik intensywności zabudowy:</w:t>
      </w:r>
    </w:p>
    <w:p w14:paraId="187FB3DE" w14:textId="77777777" w:rsidR="00A77B3E" w:rsidRPr="00C8752B" w:rsidRDefault="0080217F" w:rsidP="00C8752B">
      <w:pPr>
        <w:keepLines/>
        <w:spacing w:before="120" w:after="120" w:line="360" w:lineRule="auto"/>
        <w:ind w:left="22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– </w:t>
      </w:r>
      <w:r w:rsidRPr="00C8752B">
        <w:rPr>
          <w:rFonts w:ascii="Arial" w:hAnsi="Arial" w:cs="Arial"/>
          <w:color w:val="000000"/>
          <w:sz w:val="24"/>
          <w:u w:color="000000"/>
        </w:rPr>
        <w:t>od 0,01 do 0,4;</w:t>
      </w:r>
    </w:p>
    <w:p w14:paraId="7624140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maksymalny wskaźnik powierzchni zabudowy:</w:t>
      </w:r>
    </w:p>
    <w:p w14:paraId="61213C37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35%;</w:t>
      </w:r>
    </w:p>
    <w:p w14:paraId="530FE49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minimalny wskaźnik powierzchni biologicznie czynnej:</w:t>
      </w:r>
    </w:p>
    <w:p w14:paraId="23C07FAB" w14:textId="77777777" w:rsidR="00A77B3E" w:rsidRPr="00C8752B" w:rsidRDefault="0080217F" w:rsidP="00C8752B">
      <w:pPr>
        <w:keepLines/>
        <w:spacing w:before="120" w:after="120" w:line="360" w:lineRule="auto"/>
        <w:ind w:left="22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– </w:t>
      </w:r>
      <w:r w:rsidRPr="00C8752B">
        <w:rPr>
          <w:rFonts w:ascii="Arial" w:hAnsi="Arial" w:cs="Arial"/>
          <w:color w:val="000000"/>
          <w:sz w:val="24"/>
          <w:u w:color="000000"/>
        </w:rPr>
        <w:t>10%;</w:t>
      </w:r>
    </w:p>
    <w:p w14:paraId="2AEE99A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sytuowanie zabudowy w odległości 1,5 m od granicy lub bezpośrednio przy granicy z działką budowlaną;</w:t>
      </w:r>
    </w:p>
    <w:p w14:paraId="1E89E0BB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3. </w:t>
      </w:r>
      <w:r w:rsidRPr="00C8752B">
        <w:rPr>
          <w:rFonts w:ascii="Arial" w:hAnsi="Arial" w:cs="Arial"/>
          <w:color w:val="000000"/>
          <w:sz w:val="24"/>
          <w:u w:color="000000"/>
        </w:rPr>
        <w:t>Warunki dla zabudowy:</w:t>
      </w:r>
    </w:p>
    <w:p w14:paraId="2A7F34D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ustalona na rysunku planu nieprzekraczalna linia zabudowy;</w:t>
      </w:r>
    </w:p>
    <w:p w14:paraId="6D1AB37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zabudowy:</w:t>
      </w:r>
    </w:p>
    <w:p w14:paraId="3464694D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4,0 m;</w:t>
      </w:r>
    </w:p>
    <w:p w14:paraId="0B286CF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maksymalna wysokość budowli i urządzeń budowlanych:</w:t>
      </w:r>
    </w:p>
    <w:p w14:paraId="28E81558" w14:textId="77777777" w:rsidR="00A77B3E" w:rsidRPr="00C8752B" w:rsidRDefault="0080217F" w:rsidP="00C8752B">
      <w:pPr>
        <w:keepLines/>
        <w:spacing w:before="120" w:after="120" w:line="360" w:lineRule="auto"/>
        <w:ind w:left="567" w:hanging="113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- </w:t>
      </w:r>
      <w:r w:rsidRPr="00C8752B">
        <w:rPr>
          <w:rFonts w:ascii="Arial" w:hAnsi="Arial" w:cs="Arial"/>
          <w:color w:val="000000"/>
          <w:sz w:val="24"/>
          <w:u w:color="000000"/>
        </w:rPr>
        <w:t>4,0 m;</w:t>
      </w:r>
    </w:p>
    <w:p w14:paraId="6A87A8D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dachy:</w:t>
      </w:r>
    </w:p>
    <w:p w14:paraId="7165DC3B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a) </w:t>
      </w:r>
      <w:r w:rsidRPr="00C8752B">
        <w:rPr>
          <w:rFonts w:ascii="Arial" w:hAnsi="Arial" w:cs="Arial"/>
          <w:color w:val="000000"/>
          <w:sz w:val="24"/>
          <w:u w:color="000000"/>
        </w:rPr>
        <w:t>dwuspadowe symetryczne o kącie nachylenia - od 15° do 35° lub płaskie o kącie nachylenia połaci do 7°,</w:t>
      </w:r>
    </w:p>
    <w:p w14:paraId="6BBEBB3E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b)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jednolite pokrycie dachów (pod względem użytego materiału) w ramach działki budowlanej,</w:t>
      </w:r>
    </w:p>
    <w:p w14:paraId="0F222473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c) </w:t>
      </w:r>
      <w:r w:rsidRPr="00C8752B">
        <w:rPr>
          <w:rFonts w:ascii="Arial" w:hAnsi="Arial" w:cs="Arial"/>
          <w:color w:val="000000"/>
          <w:sz w:val="24"/>
          <w:u w:color="000000"/>
        </w:rPr>
        <w:t>pokrycie dachów budynków o dachach dwuspadowych wyłącznie dachówką lub blachą (z wyłączeniem blachodachówki), w kolorach naturalnych,</w:t>
      </w:r>
    </w:p>
    <w:p w14:paraId="2BDD0B0C" w14:textId="77777777" w:rsidR="00A77B3E" w:rsidRPr="00C8752B" w:rsidRDefault="0080217F" w:rsidP="00C8752B">
      <w:pPr>
        <w:keepLines/>
        <w:spacing w:before="120" w:after="120" w:line="360" w:lineRule="auto"/>
        <w:ind w:left="567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d) </w:t>
      </w:r>
      <w:r w:rsidRPr="00C8752B">
        <w:rPr>
          <w:rFonts w:ascii="Arial" w:hAnsi="Arial" w:cs="Arial"/>
          <w:color w:val="000000"/>
          <w:sz w:val="24"/>
          <w:u w:color="000000"/>
        </w:rPr>
        <w:t>nie ustala się rodzaju pokrycia dachów płaskich;</w:t>
      </w:r>
    </w:p>
    <w:p w14:paraId="59FD98D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>realizacja elewacji z zastosowaniem nie więcej niż 3 rodzajów materiałów wykończeniowych (nie dotyczy obróbek blacharskich);</w:t>
      </w:r>
    </w:p>
    <w:p w14:paraId="70DD1C8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6) </w:t>
      </w:r>
      <w:r w:rsidRPr="00C8752B">
        <w:rPr>
          <w:rFonts w:ascii="Arial" w:hAnsi="Arial" w:cs="Arial"/>
          <w:color w:val="000000"/>
          <w:sz w:val="24"/>
          <w:u w:color="000000"/>
        </w:rPr>
        <w:t>w elewacjach budynków zakaz stosowania okładzin elewacyjnych: blach trapezowych, falistych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i blachodachówki, płytek ceramicznych, PCV/PCW, drewna i imitacji drewna;</w:t>
      </w:r>
    </w:p>
    <w:p w14:paraId="6D9CA8F4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4. </w:t>
      </w:r>
      <w:r w:rsidRPr="00C8752B">
        <w:rPr>
          <w:rFonts w:ascii="Arial" w:hAnsi="Arial" w:cs="Arial"/>
          <w:color w:val="000000"/>
          <w:sz w:val="24"/>
          <w:u w:color="000000"/>
        </w:rPr>
        <w:t>Zasady obsługi komunikacyjnej:</w:t>
      </w:r>
    </w:p>
    <w:p w14:paraId="2E0A9C2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obsługa komunikacyjna z przyległej drogi: 1KDL.</w:t>
      </w:r>
    </w:p>
    <w:p w14:paraId="6814E286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5. </w:t>
      </w:r>
      <w:r w:rsidRPr="00C8752B">
        <w:rPr>
          <w:rFonts w:ascii="Arial" w:hAnsi="Arial" w:cs="Arial"/>
          <w:color w:val="000000"/>
          <w:sz w:val="24"/>
          <w:u w:color="000000"/>
        </w:rPr>
        <w:t>Warunki w zakresie infrastruktury technicznej ustalone w Dziale IV</w:t>
      </w:r>
    </w:p>
    <w:p w14:paraId="04431988" w14:textId="77777777" w:rsidR="00A77B3E" w:rsidRPr="00C8752B" w:rsidRDefault="0080217F" w:rsidP="00C8752B">
      <w:pPr>
        <w:keepNext/>
        <w:keepLines/>
        <w:spacing w:line="360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Rozdział 4.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USTALENIA SZCZEGÓŁOWE DLA TERENÓW KOMUNIKACJI</w:t>
      </w:r>
    </w:p>
    <w:p w14:paraId="1D372AA2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15. 1.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Dla terenu oznaczonego na rysunku planu symbolem 1KDZ </w:t>
      </w:r>
      <w:r w:rsidRPr="00C8752B">
        <w:rPr>
          <w:rFonts w:ascii="Arial" w:hAnsi="Arial" w:cs="Arial"/>
          <w:i/>
          <w:color w:val="000000"/>
          <w:sz w:val="24"/>
          <w:u w:color="000000"/>
        </w:rPr>
        <w:t xml:space="preserve">– </w:t>
      </w:r>
      <w:r w:rsidRPr="00C8752B">
        <w:rPr>
          <w:rFonts w:ascii="Arial" w:hAnsi="Arial" w:cs="Arial"/>
          <w:color w:val="000000"/>
          <w:sz w:val="24"/>
          <w:u w:color="000000"/>
        </w:rPr>
        <w:t>Aleje Mikołaja Kopernika, ustala się następujące przeznaczenie – teren drogi publicznej –droga zbiorcza.</w:t>
      </w:r>
    </w:p>
    <w:p w14:paraId="686B537A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786E6C3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szerokość pasa drogowego w granicach opracowania od 6,6 m do 12,6 m, zgodnie z rysunkiem planu;</w:t>
      </w:r>
    </w:p>
    <w:p w14:paraId="3F3ABF0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drogi publicznej wraz z obiektami i urządzeniami związanymi z prowadzeniem, zabezpieczeniem i obsługą ruchu drogowego;</w:t>
      </w:r>
    </w:p>
    <w:p w14:paraId="4BBFD80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sieci i urządzeń infrastruktury technicznej, ścieżek rowerowych oraz elementów małej architektury.</w:t>
      </w:r>
    </w:p>
    <w:p w14:paraId="19D0100A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16. 1.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Dla terenu oznaczonego na rysunku planu symbolem 2KDZ </w:t>
      </w:r>
      <w:r w:rsidRPr="00C8752B">
        <w:rPr>
          <w:rFonts w:ascii="Arial" w:hAnsi="Arial" w:cs="Arial"/>
          <w:i/>
          <w:color w:val="000000"/>
          <w:sz w:val="24"/>
          <w:u w:color="000000"/>
        </w:rPr>
        <w:t xml:space="preserve">– </w:t>
      </w:r>
      <w:r w:rsidRPr="00C8752B">
        <w:rPr>
          <w:rFonts w:ascii="Arial" w:hAnsi="Arial" w:cs="Arial"/>
          <w:color w:val="000000"/>
          <w:sz w:val="24"/>
          <w:u w:color="000000"/>
        </w:rPr>
        <w:t>Aleje Mikołaja Kopernika, ustala się następujące przeznaczenie – teren drogi publicznej –droga zbiorcza.</w:t>
      </w:r>
    </w:p>
    <w:p w14:paraId="5E0414A4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5D98BC9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szerokość pasa drogowego w granicach opracowania od 10, 7m do 17,0 m, zgodnie z rysunkiem planu;</w:t>
      </w:r>
    </w:p>
    <w:p w14:paraId="4787744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drogi publicznej wraz z obiektami i urządzeniami związanymi z prowadzeniem, zabezpieczeniem i obsługą ruchu drogowego;</w:t>
      </w:r>
    </w:p>
    <w:p w14:paraId="32847A9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sieci i urządzeń infrastruktury technicznej, ścieżek rowerowych oraz elementów małej architektury.</w:t>
      </w:r>
    </w:p>
    <w:p w14:paraId="1F5FF8E8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17. 1.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Dla terenu oznaczonego na rysunku planu symbolem 3KDZ </w:t>
      </w:r>
      <w:r w:rsidRPr="00C8752B">
        <w:rPr>
          <w:rFonts w:ascii="Arial" w:hAnsi="Arial" w:cs="Arial"/>
          <w:i/>
          <w:color w:val="000000"/>
          <w:sz w:val="24"/>
          <w:u w:color="000000"/>
        </w:rPr>
        <w:t xml:space="preserve">– </w:t>
      </w:r>
      <w:r w:rsidRPr="00C8752B">
        <w:rPr>
          <w:rFonts w:ascii="Arial" w:hAnsi="Arial" w:cs="Arial"/>
          <w:color w:val="000000"/>
          <w:sz w:val="24"/>
          <w:u w:color="000000"/>
        </w:rPr>
        <w:t>Rondo Sulejowskie, ustala się następujące przeznaczenie – teren drogi publicznej –droga zbiorcza.</w:t>
      </w:r>
    </w:p>
    <w:p w14:paraId="3FDC8E09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0B41BA2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szerokość pasa drogowego w granicach opracowania od 8,0 m do 12,5 m, zgodnie z rysunkiem planu;</w:t>
      </w:r>
    </w:p>
    <w:p w14:paraId="738E22B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drogi publicznej wraz z obiektami i urządzeniami związanymi z prowadzeniem, zabezpieczeniem i obsługą ruchu drogowego;</w:t>
      </w:r>
    </w:p>
    <w:p w14:paraId="2ED665B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sieci i urządzeń infrastruktury technicznej, ścieżek rowerowych oraz elementów małej architektury.</w:t>
      </w:r>
    </w:p>
    <w:p w14:paraId="720960AA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§ 18. 1. </w:t>
      </w:r>
      <w:r w:rsidRPr="00C8752B">
        <w:rPr>
          <w:rFonts w:ascii="Arial" w:hAnsi="Arial" w:cs="Arial"/>
          <w:color w:val="000000"/>
          <w:sz w:val="24"/>
          <w:u w:color="000000"/>
        </w:rPr>
        <w:t>Dla terenu oznaczonego na rysunku planu symbolem 1KDL – ul. Jerozolimska, ustala się następujące przeznaczenie – teren drogi publicznej- droga lokalna.</w:t>
      </w:r>
    </w:p>
    <w:p w14:paraId="6CCE60A0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445DD88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szerokość pasa drogowego w liniach rozgraniczających od 13,8 m do 23,2 m, zgodnie z rysunkiem planu;</w:t>
      </w:r>
    </w:p>
    <w:p w14:paraId="5F489D5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drogi publicznej wraz z obiektami i urządzeniami związanymi z prowadzeniem, zabezpieczeniem i obsługą ruchu drogowego;</w:t>
      </w:r>
    </w:p>
    <w:p w14:paraId="7FC9EF5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sieci i urządzeń infrastruktury technicznej, ścieżek rowerowych, przystanków, wiat przystankowych oraz elementów małej architektury.</w:t>
      </w:r>
    </w:p>
    <w:p w14:paraId="00EF0445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19. 1.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Dla terenu oznaczonego na rysunku planu symbolem 1KDD </w:t>
      </w:r>
      <w:r w:rsidRPr="00C8752B">
        <w:rPr>
          <w:rFonts w:ascii="Arial" w:hAnsi="Arial" w:cs="Arial"/>
          <w:i/>
          <w:color w:val="000000"/>
          <w:sz w:val="24"/>
          <w:u w:color="000000"/>
        </w:rPr>
        <w:t xml:space="preserve">– </w:t>
      </w:r>
      <w:r w:rsidRPr="00C8752B">
        <w:rPr>
          <w:rFonts w:ascii="Arial" w:hAnsi="Arial" w:cs="Arial"/>
          <w:color w:val="000000"/>
          <w:sz w:val="24"/>
          <w:u w:color="000000"/>
        </w:rPr>
        <w:t>ul. Pereca, ustala się następujące przeznaczenie – teren drogi publicznej - droga dojazdowa.</w:t>
      </w:r>
    </w:p>
    <w:p w14:paraId="6C8378B2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0ABA364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szerokość pasa drogowego w liniach rozgraniczających od 6,4 m do 10,0 m, zgodnie z rysunkiem planu;</w:t>
      </w:r>
    </w:p>
    <w:p w14:paraId="24C04F1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drogi publicznej wraz z obiektami i urządzeniami związanymi z prowadzeniem, zabezpieczeniem i obsługą ruchu drogowego;</w:t>
      </w:r>
    </w:p>
    <w:p w14:paraId="00A6889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sieci i urządzeń infrastruktury technicznej, ścieżek rowerowych, przystanków, wiat przystankowych oraz elementów małej architektury.</w:t>
      </w:r>
    </w:p>
    <w:p w14:paraId="0FD29F90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20. 1.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Dla terenu oznaczonego na rysunku planu symbolem 2KDD </w:t>
      </w:r>
      <w:r w:rsidRPr="00C8752B">
        <w:rPr>
          <w:rFonts w:ascii="Arial" w:hAnsi="Arial" w:cs="Arial"/>
          <w:i/>
          <w:color w:val="000000"/>
          <w:sz w:val="24"/>
          <w:u w:color="000000"/>
        </w:rPr>
        <w:t xml:space="preserve">– </w:t>
      </w:r>
      <w:r w:rsidRPr="00C8752B">
        <w:rPr>
          <w:rFonts w:ascii="Arial" w:hAnsi="Arial" w:cs="Arial"/>
          <w:color w:val="000000"/>
          <w:sz w:val="24"/>
          <w:u w:color="000000"/>
        </w:rPr>
        <w:t>ul. Pereca, ustala się następujące przeznaczenie – teren drogi publicznej - droga dojazdowa.</w:t>
      </w:r>
    </w:p>
    <w:p w14:paraId="1E400C37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1A21621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szerokość pasa drogowego w liniach rozgraniczających od 8,9 m do 10,7 m, zgodnie z rysunkiem planu;</w:t>
      </w:r>
    </w:p>
    <w:p w14:paraId="0DBD3F8D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drogi publicznej wraz z obiektami i urządzeniami związanymi z prowadzeniem, zabezpieczeniem i obsługą ruchu drogowego;</w:t>
      </w:r>
    </w:p>
    <w:p w14:paraId="303BB39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sieci i urządzeń infrastruktury technicznej, ścieżek rowerowych, przystanków, wiat przystankowych oraz elementów małej architektury;</w:t>
      </w:r>
    </w:p>
    <w:p w14:paraId="7D6676BE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21. 1.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Dla terenu oznaczonego na rysunku planu symbolem 3KDD </w:t>
      </w:r>
      <w:r w:rsidRPr="00C8752B">
        <w:rPr>
          <w:rFonts w:ascii="Arial" w:hAnsi="Arial" w:cs="Arial"/>
          <w:i/>
          <w:color w:val="000000"/>
          <w:sz w:val="24"/>
          <w:u w:color="000000"/>
        </w:rPr>
        <w:t xml:space="preserve">– </w:t>
      </w:r>
      <w:r w:rsidRPr="00C8752B">
        <w:rPr>
          <w:rFonts w:ascii="Arial" w:hAnsi="Arial" w:cs="Arial"/>
          <w:color w:val="000000"/>
          <w:sz w:val="24"/>
          <w:u w:color="000000"/>
        </w:rPr>
        <w:t>ul. Garncarska , ustala się następujące przeznaczenie – teren drogi publicznej - drogi dojazdowej.</w:t>
      </w:r>
    </w:p>
    <w:p w14:paraId="5EE66460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47A5972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szerokość pasa drogowego w liniach rozgraniczających od 14,3 m do 25,6 m, zgodnie z rysunkiem planu;</w:t>
      </w:r>
    </w:p>
    <w:p w14:paraId="36A4C30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drogi publicznej wraz z obiektami i urządzeniami związanymi z prowadzeniem, zabezpieczeniem i obsługą ruchu drogowego;</w:t>
      </w:r>
    </w:p>
    <w:p w14:paraId="69DADA2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sieci i urządzeń infrastruktury technicznej, ścieżek rowerowych, przystanków, wiat przystankowych oraz elementów małej architektury.</w:t>
      </w:r>
    </w:p>
    <w:p w14:paraId="0BEFF89E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22. 1. </w:t>
      </w:r>
      <w:r w:rsidRPr="00C8752B">
        <w:rPr>
          <w:rFonts w:ascii="Arial" w:hAnsi="Arial" w:cs="Arial"/>
          <w:color w:val="000000"/>
          <w:sz w:val="24"/>
          <w:u w:color="000000"/>
        </w:rPr>
        <w:t>Dla terenu oznaczonego na rysunku planu symbolem 1KDW – ul. Wesoła, ustala się następujące przeznaczenie – teren drogi wewnętrznej.</w:t>
      </w:r>
    </w:p>
    <w:p w14:paraId="10216ED6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6DA5CC6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szerokość pasa drogowego w liniach rozgraniczających od 4,0 m do 13,0 m, zgodnie z rysunkiem planu;</w:t>
      </w:r>
    </w:p>
    <w:p w14:paraId="0C9E6767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drogi wewnętrznej wraz z obiektami i urządzeniami związanymi z prowadzeniem, zabezpieczeniem i obsługą ruchu drogowego;</w:t>
      </w:r>
    </w:p>
    <w:p w14:paraId="33F19CE1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sieci i urządzeń infrastruktury technicznej, ścieżek rowerowych, przystanków, wiat przystankowych oraz elementów małej architektury.</w:t>
      </w:r>
    </w:p>
    <w:p w14:paraId="571C41FF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23. 1. </w:t>
      </w:r>
      <w:r w:rsidRPr="00C8752B">
        <w:rPr>
          <w:rFonts w:ascii="Arial" w:hAnsi="Arial" w:cs="Arial"/>
          <w:color w:val="000000"/>
          <w:sz w:val="24"/>
          <w:u w:color="000000"/>
        </w:rPr>
        <w:t>Dla terenu oznaczonego na rysunku planu symbolem 1Kx ustala się następujące przeznaczenie – teren ciągu pieszego.</w:t>
      </w:r>
    </w:p>
    <w:p w14:paraId="721CC0CE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541D91A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szerokość ciągu pieszego w liniach rozgraniczających od 13,9 m do 14,5 m, zgodnie z rysunkiem planu;</w:t>
      </w:r>
    </w:p>
    <w:p w14:paraId="0D688B7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ciągu pieszego wraz z obiektami i urządzeniami związanymi z prowadzeniem, zabezpieczeniem i obsługą ruchu pieszego;</w:t>
      </w:r>
    </w:p>
    <w:p w14:paraId="7EBAC34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sieci i urządzeń infrastruktury technicznej, ścieżek rowerowych, zieleni oraz elementów małej architektury;</w:t>
      </w:r>
    </w:p>
    <w:p w14:paraId="5DE3128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ustala się minimalny udział powierzchni biologicznie czynnej w odniesieniu do powierzchni terenu: 35%;</w:t>
      </w:r>
    </w:p>
    <w:p w14:paraId="6B4994E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5)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dopuszcza się lokalizację budowli o funkcji </w:t>
      </w:r>
      <w:proofErr w:type="spellStart"/>
      <w:r w:rsidRPr="00C8752B">
        <w:rPr>
          <w:rFonts w:ascii="Arial" w:hAnsi="Arial" w:cs="Arial"/>
          <w:color w:val="000000"/>
          <w:sz w:val="24"/>
          <w:u w:color="000000"/>
        </w:rPr>
        <w:t>rekreacyjno</w:t>
      </w:r>
      <w:proofErr w:type="spellEnd"/>
      <w:r w:rsidRPr="00C8752B">
        <w:rPr>
          <w:rFonts w:ascii="Arial" w:hAnsi="Arial" w:cs="Arial"/>
          <w:color w:val="000000"/>
          <w:sz w:val="24"/>
          <w:u w:color="000000"/>
        </w:rPr>
        <w:t xml:space="preserve"> - wypoczynkowej o maksymalnej wysokości 5,0 m oraz pomników o maksymalnej wysokości 2,5 m.</w:t>
      </w:r>
    </w:p>
    <w:p w14:paraId="00E1A0E2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24. 1. </w:t>
      </w:r>
      <w:r w:rsidRPr="00C8752B">
        <w:rPr>
          <w:rFonts w:ascii="Arial" w:hAnsi="Arial" w:cs="Arial"/>
          <w:color w:val="000000"/>
          <w:sz w:val="24"/>
          <w:u w:color="000000"/>
        </w:rPr>
        <w:t>Dla terenu oznaczonego na rysunku planu symbolem 2Kx ustala się następujące przeznaczenie – teren ciągu pieszego.</w:t>
      </w:r>
    </w:p>
    <w:p w14:paraId="6AE5BE76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0AC8B63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szerokość ciągu pieszego w liniach rozgraniczających 3,0 m, zgodnie z rysunkiem planu;</w:t>
      </w:r>
    </w:p>
    <w:p w14:paraId="51026ECF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ciągu pieszego wraz z obiektami i urządzeniami związanymi z prowadzeniem, zabezpieczeniem i obsługą ruchu pieszego;</w:t>
      </w:r>
    </w:p>
    <w:p w14:paraId="6561E273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lokalizacja sieci i urządzeń infrastruktury technicznej, zieleni oraz elementów małej architektury.</w:t>
      </w:r>
    </w:p>
    <w:p w14:paraId="77393B27" w14:textId="77777777" w:rsidR="00A77B3E" w:rsidRPr="00C8752B" w:rsidRDefault="0080217F" w:rsidP="00C8752B">
      <w:pPr>
        <w:keepNext/>
        <w:spacing w:line="360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caps/>
          <w:sz w:val="24"/>
        </w:rPr>
        <w:t>Dział IV.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USTALENIA SZCZEGŁÓŁOWE W ZAKRESIE INFRASTRUKTURY TECHNICZNEJ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I WÓD POWIERZCHNIOWYCH</w:t>
      </w:r>
    </w:p>
    <w:p w14:paraId="699F3E27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25. 1.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zasady wyposażenia i obsługi w zakresie zaopatrzenia w wodę:</w:t>
      </w:r>
    </w:p>
    <w:p w14:paraId="1D20491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zaopatrzenie w wodę do celów </w:t>
      </w:r>
      <w:proofErr w:type="spellStart"/>
      <w:r w:rsidRPr="00C8752B">
        <w:rPr>
          <w:rFonts w:ascii="Arial" w:hAnsi="Arial" w:cs="Arial"/>
          <w:color w:val="000000"/>
          <w:sz w:val="24"/>
          <w:u w:color="000000"/>
        </w:rPr>
        <w:t>socjalno</w:t>
      </w:r>
      <w:proofErr w:type="spellEnd"/>
      <w:r w:rsidRPr="00C8752B">
        <w:rPr>
          <w:rFonts w:ascii="Arial" w:hAnsi="Arial" w:cs="Arial"/>
          <w:color w:val="000000"/>
          <w:sz w:val="24"/>
          <w:u w:color="000000"/>
        </w:rPr>
        <w:t xml:space="preserve"> – bytowych, gospodarczych i przeciwpożarowych z istniejącej i projektowanej miejskiej sieci wodociągowej;</w:t>
      </w:r>
    </w:p>
    <w:p w14:paraId="7AA0D8E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nie dopuszcza się zaopatrzenia w wodę z indywidualnych źródeł zasilania.</w:t>
      </w:r>
    </w:p>
    <w:p w14:paraId="07AE4F85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zasady wyposażenia i obsługi w zakresie odprowadzania ścieków sanitarnych:</w:t>
      </w:r>
    </w:p>
    <w:p w14:paraId="452D51F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z odprowadzenie ścieków poprzez istniejące i projektowane sieci do zbiorowego systemu odprowadzania ścieków;</w:t>
      </w:r>
    </w:p>
    <w:p w14:paraId="76AD865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zakaz lokalizacji przydomowych oczyszczalni ścieków, zbiorników bezodpływowych i zastosowania innych indywidualnych rozwiązań w zakresie odprowadzenia ścieków sanitarnych.</w:t>
      </w:r>
    </w:p>
    <w:p w14:paraId="7A07476A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zasady wyposażenia i obsługi w zakresie odprowadzenia wód opadowych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i roztopowych :</w:t>
      </w:r>
    </w:p>
    <w:p w14:paraId="044B93F0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maksymalne zagospodarowanie wód opadowych w granicach działki budowlanej przez naturalną i wymuszoną retencję gruntu;</w:t>
      </w:r>
    </w:p>
    <w:p w14:paraId="62771D5A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odprowadzenie ścieków opadowych i roztopowych poprzez istniejący i projektowany system sieci kanalizacji deszczowej;</w:t>
      </w:r>
    </w:p>
    <w:p w14:paraId="0EADE44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nakaz stosowania urządzeń umożliwiających wykorzystanie na miejscu wód opadowych i roztopowych,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z dopuszczeniem odprowadzenia ich do gruntu na warunkach określonych w przepisach odrębnych, w celu ograniczenia ich odpływu do sieci kanalizacji deszczowej;</w:t>
      </w:r>
    </w:p>
    <w:p w14:paraId="401A744B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lastRenderedPageBreak/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nakaz stosowania rozwiązań umożliwiających retencjonowanie nadmiaru wód opadowych i roztopowych, spływających z powierzchni szczelnych dachów, ulic i placów, przed ich odprowadzeniem do miejskiej sieci kanalizacji deszczowej.</w:t>
      </w:r>
    </w:p>
    <w:p w14:paraId="51EC438D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zasady wyposażenia i obsługi w zakresie zaopatrzenia w gaz ziemny:</w:t>
      </w:r>
    </w:p>
    <w:p w14:paraId="6FE85E0C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zaopatrzenie w gaz do celów komunalno- bytowych z sieci gazowniczej istniejącej i projektowanej.</w:t>
      </w:r>
    </w:p>
    <w:p w14:paraId="406CECCB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5. 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zasady wyposażenia i obsługi w zakresie zaopatrzenia w ciepło:</w:t>
      </w:r>
    </w:p>
    <w:p w14:paraId="2DC4FA18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zaopatrzenie obiektów w ciepło w oparciu o sieć ciepłowniczą, paliwa gazowe, odnawialne źródła energii (np. energia słoneczna, geotermalna), energię elektryczną, lekki olej opałowy.</w:t>
      </w:r>
    </w:p>
    <w:p w14:paraId="78BB3618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6. 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zasady wyposażenia i obsługi w zakresie gospodarki odpadami:</w:t>
      </w:r>
    </w:p>
    <w:p w14:paraId="41172C9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usuwanie nieczystości stałych w oparciu o miejski system oczyszczania;</w:t>
      </w:r>
    </w:p>
    <w:p w14:paraId="31161F5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obowiązek gromadzenia odpadów w szczelnych pojemnikach.</w:t>
      </w:r>
    </w:p>
    <w:p w14:paraId="38BCB321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7. 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zasady wyposażenia i obsługi w zakresie zasilania w energię elektryczną:</w:t>
      </w:r>
    </w:p>
    <w:p w14:paraId="3A30DC1E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zasilanie w energię elektryczną z istniejącej i projektowanych stacji transformatorowych;</w:t>
      </w:r>
    </w:p>
    <w:p w14:paraId="7F7950A6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stacje transformatorowe należy projektować jako wbudowane w bryłę budynków lub jako podziemne;</w:t>
      </w:r>
    </w:p>
    <w:p w14:paraId="6C17E3C4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nie dopuszcza się lokalizacji wolnostojących stacji transformatorowych, za wyjątkiem - terenów 1E i 5 MŚ;</w:t>
      </w:r>
    </w:p>
    <w:p w14:paraId="6B89D2F5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4) </w:t>
      </w:r>
      <w:r w:rsidRPr="00C8752B">
        <w:rPr>
          <w:rFonts w:ascii="Arial" w:hAnsi="Arial" w:cs="Arial"/>
          <w:color w:val="000000"/>
          <w:sz w:val="24"/>
          <w:u w:color="000000"/>
        </w:rPr>
        <w:t>dla nowo realizowanych odcinków sieci elektroenergetycznych obowiązuje zastosowanie wyłącznie linii kablowych układanych w gruncie.</w:t>
      </w:r>
    </w:p>
    <w:p w14:paraId="216EEB7B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8. </w:t>
      </w:r>
      <w:r w:rsidRPr="00C8752B">
        <w:rPr>
          <w:rFonts w:ascii="Arial" w:hAnsi="Arial" w:cs="Arial"/>
          <w:color w:val="000000"/>
          <w:sz w:val="24"/>
          <w:u w:color="000000"/>
        </w:rPr>
        <w:t>Ustala się następujące zasady wyposażenia w łącza telefoniczne i teleinformatyczne:</w:t>
      </w:r>
    </w:p>
    <w:p w14:paraId="374C858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1) </w:t>
      </w:r>
      <w:r w:rsidRPr="00C8752B">
        <w:rPr>
          <w:rFonts w:ascii="Arial" w:hAnsi="Arial" w:cs="Arial"/>
          <w:color w:val="000000"/>
          <w:sz w:val="24"/>
          <w:u w:color="000000"/>
        </w:rPr>
        <w:t>zaopatrzenie w stacjonarne łącza telefoniczne z istniejącej i projektowanej sieci telekomunikacyjnej;</w:t>
      </w:r>
    </w:p>
    <w:p w14:paraId="0DAA8C12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2) </w:t>
      </w:r>
      <w:r w:rsidRPr="00C8752B">
        <w:rPr>
          <w:rFonts w:ascii="Arial" w:hAnsi="Arial" w:cs="Arial"/>
          <w:color w:val="000000"/>
          <w:sz w:val="24"/>
          <w:u w:color="000000"/>
        </w:rPr>
        <w:t>dopuszcza się lokalizację inwestycji celu publicznego z zakresu telekomunikacji na warunkach określonych w przepisach odrębnych i szczególnych;</w:t>
      </w:r>
    </w:p>
    <w:p w14:paraId="62CC38B9" w14:textId="77777777" w:rsidR="00A77B3E" w:rsidRPr="00C8752B" w:rsidRDefault="0080217F" w:rsidP="00C8752B">
      <w:pPr>
        <w:spacing w:before="120" w:after="120" w:line="360" w:lineRule="auto"/>
        <w:ind w:left="340" w:hanging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3) </w:t>
      </w:r>
      <w:r w:rsidRPr="00C8752B">
        <w:rPr>
          <w:rFonts w:ascii="Arial" w:hAnsi="Arial" w:cs="Arial"/>
          <w:color w:val="000000"/>
          <w:sz w:val="24"/>
          <w:u w:color="000000"/>
        </w:rPr>
        <w:t>obowiązuje realizacja podziemnej sieci teletechnicznej.</w:t>
      </w:r>
    </w:p>
    <w:p w14:paraId="4FA8F529" w14:textId="77777777" w:rsidR="00A77B3E" w:rsidRPr="00C8752B" w:rsidRDefault="0080217F" w:rsidP="00C8752B">
      <w:pPr>
        <w:keepNext/>
        <w:spacing w:line="360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caps/>
          <w:sz w:val="24"/>
        </w:rPr>
        <w:lastRenderedPageBreak/>
        <w:t>Dział V.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USTALENIA KOŃCOWE</w:t>
      </w:r>
    </w:p>
    <w:p w14:paraId="1FD20B93" w14:textId="77777777" w:rsidR="00A77B3E" w:rsidRPr="00C8752B" w:rsidRDefault="0080217F" w:rsidP="00C8752B">
      <w:pPr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26. </w:t>
      </w:r>
      <w:r w:rsidRPr="00C8752B">
        <w:rPr>
          <w:rFonts w:ascii="Arial" w:hAnsi="Arial" w:cs="Arial"/>
          <w:color w:val="000000"/>
          <w:sz w:val="24"/>
          <w:u w:color="000000"/>
        </w:rPr>
        <w:t>Uchwała podlega ogłoszeniu w Dzienniku Urzędowym Województwa Łódzkiego i na stronie internetowej Miasta Piotrkowa Trybunalskiego.</w:t>
      </w:r>
    </w:p>
    <w:p w14:paraId="5812CC89" w14:textId="77777777" w:rsidR="00A77B3E" w:rsidRPr="00C8752B" w:rsidRDefault="0080217F" w:rsidP="00C8752B">
      <w:pPr>
        <w:keepNext/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sz w:val="24"/>
        </w:rPr>
        <w:t>§ 27. </w:t>
      </w:r>
      <w:r w:rsidRPr="00C8752B">
        <w:rPr>
          <w:rFonts w:ascii="Arial" w:hAnsi="Arial" w:cs="Arial"/>
          <w:color w:val="000000"/>
          <w:sz w:val="24"/>
          <w:u w:color="000000"/>
        </w:rPr>
        <w:t>Uchwała wchodzi w życie po upływie 14 dni od dnia ogłoszenia jej w Dzienniku Urzędowym Województwa Łódzkiego.</w:t>
      </w:r>
    </w:p>
    <w:p w14:paraId="643D7E35" w14:textId="77777777" w:rsidR="00A77B3E" w:rsidRPr="00C8752B" w:rsidRDefault="00A77B3E" w:rsidP="00C8752B">
      <w:pPr>
        <w:keepNext/>
        <w:keepLines/>
        <w:spacing w:before="120" w:after="120" w:line="360" w:lineRule="auto"/>
        <w:ind w:firstLine="340"/>
        <w:rPr>
          <w:rFonts w:ascii="Arial" w:hAnsi="Arial" w:cs="Arial"/>
          <w:color w:val="000000"/>
          <w:sz w:val="24"/>
          <w:u w:color="000000"/>
        </w:rPr>
      </w:pPr>
    </w:p>
    <w:p w14:paraId="261F9A50" w14:textId="77777777" w:rsidR="00A77B3E" w:rsidRPr="00C8752B" w:rsidRDefault="0080217F" w:rsidP="00C8752B">
      <w:pPr>
        <w:keepNext/>
        <w:spacing w:line="360" w:lineRule="auto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color w:val="000000"/>
          <w:sz w:val="24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76648B" w:rsidRPr="00C8752B" w14:paraId="0A985A03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6FA77C" w14:textId="77777777" w:rsidR="0076648B" w:rsidRPr="00C8752B" w:rsidRDefault="0076648B" w:rsidP="00C8752B">
            <w:pPr>
              <w:keepNext/>
              <w:keepLines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791145" w14:textId="77777777" w:rsidR="0076648B" w:rsidRPr="00C8752B" w:rsidRDefault="0080217F" w:rsidP="00C8752B">
            <w:pPr>
              <w:keepNext/>
              <w:keepLines/>
              <w:spacing w:before="560" w:after="560" w:line="360" w:lineRule="auto"/>
              <w:ind w:left="1134" w:right="1134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C8752B">
              <w:rPr>
                <w:rFonts w:ascii="Arial" w:hAnsi="Arial" w:cs="Arial"/>
                <w:color w:val="000000"/>
                <w:sz w:val="24"/>
              </w:rPr>
              <w:t>Przewodniczący Rady Miasta</w:t>
            </w:r>
            <w:r w:rsidRPr="00C8752B">
              <w:rPr>
                <w:rFonts w:ascii="Arial" w:hAnsi="Arial" w:cs="Arial"/>
                <w:color w:val="000000"/>
                <w:sz w:val="24"/>
              </w:rPr>
              <w:br/>
            </w:r>
            <w:r w:rsidRPr="00C8752B">
              <w:rPr>
                <w:rFonts w:ascii="Arial" w:hAnsi="Arial" w:cs="Arial"/>
                <w:color w:val="000000"/>
                <w:sz w:val="24"/>
              </w:rPr>
              <w:br/>
            </w:r>
            <w:r w:rsidRPr="00C8752B">
              <w:rPr>
                <w:rFonts w:ascii="Arial" w:hAnsi="Arial" w:cs="Arial"/>
                <w:color w:val="000000"/>
                <w:sz w:val="24"/>
              </w:rPr>
              <w:br/>
            </w:r>
            <w:r w:rsidRPr="00C8752B">
              <w:rPr>
                <w:rFonts w:ascii="Arial" w:hAnsi="Arial" w:cs="Arial"/>
                <w:sz w:val="24"/>
              </w:rPr>
              <w:t>Marian Błaszczyński</w:t>
            </w:r>
          </w:p>
        </w:tc>
      </w:tr>
    </w:tbl>
    <w:p w14:paraId="11C1E5AE" w14:textId="77777777" w:rsidR="00A77B3E" w:rsidRPr="00C8752B" w:rsidRDefault="00A77B3E" w:rsidP="00C8752B">
      <w:pPr>
        <w:keepNext/>
        <w:spacing w:line="360" w:lineRule="auto"/>
        <w:rPr>
          <w:rFonts w:ascii="Arial" w:hAnsi="Arial" w:cs="Arial"/>
          <w:color w:val="000000"/>
          <w:sz w:val="24"/>
          <w:u w:color="000000"/>
        </w:rPr>
        <w:sectPr w:rsidR="00A77B3E" w:rsidRPr="00C8752B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6950DB7" w14:textId="77777777" w:rsidR="00A77B3E" w:rsidRPr="00C8752B" w:rsidRDefault="0080217F" w:rsidP="00C8752B">
      <w:pPr>
        <w:spacing w:before="120" w:after="120" w:line="360" w:lineRule="auto"/>
        <w:ind w:left="5449"/>
        <w:jc w:val="left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C8752B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C8752B">
        <w:rPr>
          <w:rFonts w:ascii="Arial" w:hAnsi="Arial" w:cs="Arial"/>
          <w:color w:val="000000"/>
          <w:sz w:val="24"/>
          <w:u w:color="000000"/>
        </w:rPr>
        <w:t>Załącznik Nr 1 do uchwały Nr LI/650/22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Rady Miasta Piotrkowa Trybunalskiego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z dnia 25 maja 2022 r.</w:t>
      </w:r>
    </w:p>
    <w:p w14:paraId="2F3C0697" w14:textId="77777777" w:rsidR="00A77B3E" w:rsidRPr="00C8752B" w:rsidRDefault="0080217F" w:rsidP="00C8752B">
      <w:pPr>
        <w:spacing w:before="120" w:after="120" w:line="360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noProof/>
          <w:color w:val="000000"/>
          <w:sz w:val="24"/>
          <w:u w:color="000000"/>
          <w:lang w:bidi="ar-SA"/>
        </w:rPr>
        <w:lastRenderedPageBreak/>
        <w:drawing>
          <wp:inline distT="0" distB="0" distL="0" distR="0" wp14:anchorId="45A22ADC" wp14:editId="7953103D">
            <wp:extent cx="6274318" cy="8870317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4318" cy="887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591EB" w14:textId="77777777" w:rsidR="00A77B3E" w:rsidRPr="00C8752B" w:rsidRDefault="0080217F" w:rsidP="00C8752B">
      <w:pPr>
        <w:spacing w:before="120" w:after="120" w:line="360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noProof/>
          <w:color w:val="000000"/>
          <w:sz w:val="24"/>
          <w:u w:color="000000"/>
          <w:lang w:bidi="ar-SA"/>
        </w:rPr>
        <w:lastRenderedPageBreak/>
        <w:drawing>
          <wp:inline distT="0" distB="0" distL="0" distR="0" wp14:anchorId="02A2E5FB" wp14:editId="3E5D7E5D">
            <wp:extent cx="6267777" cy="8861069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ADA7" w14:textId="77777777" w:rsidR="00A77B3E" w:rsidRPr="00C8752B" w:rsidRDefault="0080217F" w:rsidP="00C8752B">
      <w:pPr>
        <w:spacing w:before="120" w:after="120" w:line="360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noProof/>
          <w:color w:val="000000"/>
          <w:sz w:val="24"/>
          <w:u w:color="000000"/>
          <w:lang w:bidi="ar-SA"/>
        </w:rPr>
        <w:lastRenderedPageBreak/>
        <w:drawing>
          <wp:inline distT="0" distB="0" distL="0" distR="0" wp14:anchorId="23C587C3" wp14:editId="6BF60360">
            <wp:extent cx="6267777" cy="8861069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ABDF" w14:textId="77777777" w:rsidR="00A77B3E" w:rsidRPr="00C8752B" w:rsidRDefault="0080217F" w:rsidP="00C8752B">
      <w:pPr>
        <w:spacing w:before="120" w:after="120" w:line="360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noProof/>
          <w:color w:val="000000"/>
          <w:sz w:val="24"/>
          <w:u w:color="000000"/>
          <w:lang w:bidi="ar-SA"/>
        </w:rPr>
        <w:lastRenderedPageBreak/>
        <w:drawing>
          <wp:inline distT="0" distB="0" distL="0" distR="0" wp14:anchorId="57EC7B46" wp14:editId="264220F2">
            <wp:extent cx="6267777" cy="8861069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5970" w14:textId="77777777" w:rsidR="00A77B3E" w:rsidRPr="00C8752B" w:rsidRDefault="0080217F" w:rsidP="00C8752B">
      <w:pPr>
        <w:spacing w:before="120" w:after="120" w:line="360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noProof/>
          <w:color w:val="000000"/>
          <w:sz w:val="24"/>
          <w:u w:color="000000"/>
          <w:lang w:bidi="ar-SA"/>
        </w:rPr>
        <w:lastRenderedPageBreak/>
        <w:drawing>
          <wp:inline distT="0" distB="0" distL="0" distR="0" wp14:anchorId="51F6A8B3" wp14:editId="7EB2AB1F">
            <wp:extent cx="6267777" cy="8861069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E5D7" w14:textId="77777777" w:rsidR="00A77B3E" w:rsidRPr="00C8752B" w:rsidRDefault="0080217F" w:rsidP="00C8752B">
      <w:pPr>
        <w:spacing w:before="120" w:after="120" w:line="360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noProof/>
          <w:color w:val="000000"/>
          <w:sz w:val="24"/>
          <w:u w:color="000000"/>
          <w:lang w:bidi="ar-SA"/>
        </w:rPr>
        <w:lastRenderedPageBreak/>
        <w:drawing>
          <wp:inline distT="0" distB="0" distL="0" distR="0" wp14:anchorId="275BCB22" wp14:editId="078CAF65">
            <wp:extent cx="6267777" cy="8861069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663D" w14:textId="77777777" w:rsidR="00A77B3E" w:rsidRPr="00C8752B" w:rsidRDefault="00A77B3E" w:rsidP="00C8752B">
      <w:pPr>
        <w:spacing w:before="120" w:after="120" w:line="360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  <w:sectPr w:rsidR="00A77B3E" w:rsidRPr="00C8752B">
          <w:footerReference w:type="default" r:id="rId19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7996F2D2" w14:textId="77777777" w:rsidR="00A77B3E" w:rsidRPr="00C8752B" w:rsidRDefault="0080217F" w:rsidP="00C8752B">
      <w:pPr>
        <w:keepNext/>
        <w:spacing w:before="120" w:after="120" w:line="360" w:lineRule="auto"/>
        <w:ind w:left="5449"/>
        <w:jc w:val="left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C8752B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C8752B">
        <w:rPr>
          <w:rFonts w:ascii="Arial" w:hAnsi="Arial" w:cs="Arial"/>
          <w:color w:val="000000"/>
          <w:sz w:val="24"/>
          <w:u w:color="000000"/>
        </w:rPr>
        <w:t>Załącznik Nr 2 do uchwały Nr LI/650/22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Rady Miasta Piotrkowa Trybunalskiego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z dnia 25 maja 2022 r.</w:t>
      </w:r>
    </w:p>
    <w:p w14:paraId="2EEE5920" w14:textId="77777777" w:rsidR="00A77B3E" w:rsidRPr="00C8752B" w:rsidRDefault="0080217F" w:rsidP="00C8752B">
      <w:pPr>
        <w:keepNext/>
        <w:spacing w:after="480" w:line="360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color w:val="000000"/>
          <w:sz w:val="24"/>
          <w:u w:color="000000"/>
        </w:rPr>
        <w:t>ROZSTRZYGNIĘCIE DOTYCZĄCE SPOSOBU ROZPATRZENIA UWAG ZGŁOSZONYCH DO PROJEKTU PLANU MIEJSCOWEGO</w:t>
      </w:r>
    </w:p>
    <w:p w14:paraId="08DDFDC4" w14:textId="77777777" w:rsidR="00A77B3E" w:rsidRPr="00C8752B" w:rsidRDefault="0080217F" w:rsidP="00C8752B">
      <w:pPr>
        <w:keepLines/>
        <w:spacing w:before="120" w:after="120" w:line="360" w:lineRule="auto"/>
        <w:ind w:firstLine="227"/>
        <w:rPr>
          <w:rFonts w:ascii="Arial" w:hAnsi="Arial" w:cs="Arial"/>
          <w:color w:val="000000"/>
          <w:sz w:val="24"/>
          <w:u w:color="000000"/>
        </w:rPr>
        <w:sectPr w:rsidR="00A77B3E" w:rsidRPr="00C8752B">
          <w:footerReference w:type="default" r:id="rId20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 w:rsidRPr="00C8752B">
        <w:rPr>
          <w:rFonts w:ascii="Arial" w:hAnsi="Arial" w:cs="Arial"/>
          <w:color w:val="000000"/>
          <w:sz w:val="24"/>
          <w:u w:color="000000"/>
        </w:rPr>
        <w:t>Na podstawie art. 20 ust. 1. ustawy dnia 27 marca 2003 r. o planowaniu i zagospodarowaniu przestrzennym (tj. Dz. U. z 2022 r. poz. 503) Rada Miasta Piotrkowa Trybunalskiego stwierdza, że w ustawowych terminach po dwukrotnym wyłożeniu do publicznego wglądu projektu miejscowego planu zagospodarowania przestrzennego w rejonie ulic: Pereca, Garncarskiej, Jerozolimskiej, M. Skłodowskiej-Curie i Al. Kopernika w Piotrkowie Trybunalskim, nie wniesiono uwag do projektu planu miejscowego.</w:t>
      </w:r>
    </w:p>
    <w:p w14:paraId="475CF336" w14:textId="77777777" w:rsidR="00A77B3E" w:rsidRPr="00C8752B" w:rsidRDefault="0080217F" w:rsidP="00C8752B">
      <w:pPr>
        <w:keepNext/>
        <w:spacing w:before="120" w:after="120" w:line="360" w:lineRule="auto"/>
        <w:ind w:left="5449"/>
        <w:jc w:val="left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C8752B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C8752B">
        <w:rPr>
          <w:rFonts w:ascii="Arial" w:hAnsi="Arial" w:cs="Arial"/>
          <w:color w:val="000000"/>
          <w:sz w:val="24"/>
          <w:u w:color="000000"/>
        </w:rPr>
        <w:t>Załącznik Nr 3 do uchwały Nr LI/650/22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Rady Miasta Piotrkowa Trybunalskiego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z dnia 25 maja 2022 r.</w:t>
      </w:r>
    </w:p>
    <w:p w14:paraId="53EB427F" w14:textId="77777777" w:rsidR="00A77B3E" w:rsidRPr="00C8752B" w:rsidRDefault="0080217F" w:rsidP="00C8752B">
      <w:pPr>
        <w:keepNext/>
        <w:spacing w:after="480" w:line="360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color w:val="000000"/>
          <w:sz w:val="24"/>
          <w:u w:color="000000"/>
        </w:rPr>
        <w:t>ROZSTRZYGNIĘCIE DOTYCZĄCE SPOSOBU REALIZACJI ZAPISANYCH</w:t>
      </w:r>
      <w:r w:rsidRPr="00C8752B">
        <w:rPr>
          <w:rFonts w:ascii="Arial" w:hAnsi="Arial" w:cs="Arial"/>
          <w:color w:val="000000"/>
          <w:sz w:val="24"/>
          <w:u w:color="000000"/>
        </w:rPr>
        <w:br/>
        <w:t>W PLANIE MIEJSCOWYM INWESTYCJI Z ZAKRESU INFRASTRUKTURY TECHNICZNEJ, KTÓRE NALEŻĄ DO ZADAŃ WŁASNYCH GMINY ORAZ ZASADACH ICH FINANSOWANIA, ZGODNIE Z PRZEPISAMI O FINANSACH PUBLICZNYCH</w:t>
      </w:r>
    </w:p>
    <w:p w14:paraId="0362E0DA" w14:textId="77777777" w:rsidR="00A77B3E" w:rsidRPr="00C8752B" w:rsidRDefault="0080217F" w:rsidP="00C8752B">
      <w:pPr>
        <w:keepLines/>
        <w:spacing w:before="120" w:after="120" w:line="360" w:lineRule="auto"/>
        <w:ind w:firstLine="227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color w:val="000000"/>
          <w:sz w:val="24"/>
          <w:u w:color="000000"/>
        </w:rPr>
        <w:t>Zgodnie z art. 7 ust.1 ustawy z dnia 8 marca 1990 r. o samorządzie gminnym (tj. Dz. U. z 2022 r. poz. 559, 583) w związku z uchwaleniem miejscowego planu zagospodarowania przestrzennego w rejonie ulic: Pereca, Garncarskiej, Jerozolimskiej, M. Skłodowskiej-Curie i Al. Kopernika w Piotrkowie Trybunalskim zostaną zagospodarowane i zabudowane kolejne tereny miasta, a dla terenów już zainwestowanych wprowadzone zostaną zasady zagospodarowania przy uwzględnieniu wymagań ładu przestrzennego w tym urbanistyki i architektury.</w:t>
      </w:r>
    </w:p>
    <w:p w14:paraId="0358AF17" w14:textId="77777777" w:rsidR="00A77B3E" w:rsidRPr="00C8752B" w:rsidRDefault="0080217F" w:rsidP="00C8752B">
      <w:pPr>
        <w:spacing w:before="120" w:after="120" w:line="360" w:lineRule="auto"/>
        <w:ind w:left="283" w:firstLine="227"/>
        <w:rPr>
          <w:rFonts w:ascii="Arial" w:hAnsi="Arial" w:cs="Arial"/>
          <w:color w:val="000000"/>
          <w:sz w:val="24"/>
          <w:u w:color="000000"/>
        </w:rPr>
        <w:sectPr w:rsidR="00A77B3E" w:rsidRPr="00C8752B">
          <w:footerReference w:type="default" r:id="rId21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 w:rsidRPr="00C8752B">
        <w:rPr>
          <w:rFonts w:ascii="Arial" w:hAnsi="Arial" w:cs="Arial"/>
          <w:color w:val="000000"/>
          <w:sz w:val="24"/>
          <w:u w:color="000000"/>
        </w:rPr>
        <w:t>Zgodnie z opracowaną prognozą skutków finansowych dla projektu miejscowego planu zagospodarowania przestrzennego w rejonie ulic: Pereca, Garncarskiej, Jerozolimskiej, M. Skłodowskiej-Curie i Al. Kopernika w Piotrkowie Trybunalskim, ustalenia projektowanego planu nie generują wydatków w zakresie inwestycji infrastruktury technicznej.</w:t>
      </w:r>
    </w:p>
    <w:p w14:paraId="7C41B90D" w14:textId="7D061E91" w:rsidR="00A77B3E" w:rsidRPr="00C8752B" w:rsidRDefault="0080217F" w:rsidP="00C8752B">
      <w:pPr>
        <w:keepNext/>
        <w:spacing w:before="280" w:after="280" w:line="360" w:lineRule="auto"/>
        <w:ind w:left="4535"/>
        <w:jc w:val="left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C8752B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C8752B">
        <w:rPr>
          <w:rFonts w:ascii="Arial" w:hAnsi="Arial" w:cs="Arial"/>
          <w:sz w:val="24"/>
        </w:rPr>
        <w:t>Załącznik Nr 4 do uchwały</w:t>
      </w:r>
      <w:r w:rsidRPr="00C8752B">
        <w:rPr>
          <w:rFonts w:ascii="Arial" w:hAnsi="Arial" w:cs="Arial"/>
          <w:color w:val="000000"/>
          <w:sz w:val="24"/>
          <w:u w:color="000000"/>
        </w:rPr>
        <w:t xml:space="preserve"> Nr LI/650/22</w:t>
      </w:r>
      <w:r w:rsidRPr="00C8752B">
        <w:rPr>
          <w:rFonts w:ascii="Arial" w:hAnsi="Arial" w:cs="Arial"/>
          <w:color w:val="000000"/>
          <w:sz w:val="24"/>
          <w:u w:color="000000"/>
        </w:rPr>
        <w:br/>
      </w:r>
      <w:r w:rsidRPr="00C8752B">
        <w:rPr>
          <w:rFonts w:ascii="Arial" w:hAnsi="Arial" w:cs="Arial"/>
          <w:sz w:val="24"/>
        </w:rPr>
        <w:t>Rady Miasta Piotrkowa Trybunalskiego</w:t>
      </w:r>
      <w:r w:rsidRPr="00C8752B">
        <w:rPr>
          <w:rFonts w:ascii="Arial" w:hAnsi="Arial" w:cs="Arial"/>
          <w:color w:val="000000"/>
          <w:sz w:val="24"/>
          <w:u w:color="000000"/>
        </w:rPr>
        <w:br/>
      </w:r>
      <w:r w:rsidRPr="00C8752B">
        <w:rPr>
          <w:rFonts w:ascii="Arial" w:hAnsi="Arial" w:cs="Arial"/>
          <w:sz w:val="24"/>
        </w:rPr>
        <w:t>z dnia 25 maja 2022 r.</w:t>
      </w:r>
      <w:r w:rsidRPr="00C8752B">
        <w:rPr>
          <w:rFonts w:ascii="Arial" w:hAnsi="Arial" w:cs="Arial"/>
          <w:color w:val="000000"/>
          <w:sz w:val="24"/>
          <w:u w:color="000000"/>
        </w:rPr>
        <w:br/>
      </w:r>
      <w:hyperlink r:id="rId22" w:history="1">
        <w:r w:rsidRPr="00C8752B">
          <w:rPr>
            <w:rStyle w:val="Hipercze"/>
            <w:rFonts w:ascii="Arial" w:hAnsi="Arial" w:cs="Arial"/>
            <w:color w:val="000000"/>
            <w:sz w:val="24"/>
            <w:u w:val="none" w:color="000000"/>
          </w:rPr>
          <w:t>Zalacznik4.gml</w:t>
        </w:r>
      </w:hyperlink>
    </w:p>
    <w:p w14:paraId="006534AB" w14:textId="77777777" w:rsidR="00A77B3E" w:rsidRPr="00C8752B" w:rsidRDefault="0080217F" w:rsidP="00C8752B">
      <w:pPr>
        <w:keepNext/>
        <w:spacing w:after="480" w:line="360" w:lineRule="auto"/>
        <w:jc w:val="center"/>
        <w:rPr>
          <w:rFonts w:ascii="Arial" w:hAnsi="Arial" w:cs="Arial"/>
          <w:color w:val="000000"/>
          <w:sz w:val="24"/>
          <w:u w:color="000000"/>
        </w:rPr>
      </w:pPr>
      <w:r w:rsidRPr="00C8752B">
        <w:rPr>
          <w:rFonts w:ascii="Arial" w:hAnsi="Arial" w:cs="Arial"/>
          <w:color w:val="000000"/>
          <w:sz w:val="24"/>
          <w:u w:color="000000"/>
        </w:rPr>
        <w:t>Dane przestrzenne, o których mowa w art. 67a ust. 3 i 5 ustawy z dnia 27 marca 2003 r. o planowaniu i zagospodarowaniu przestrzennym (j.t. Dz.U. z 2020 r. poz. 293 z </w:t>
      </w:r>
      <w:proofErr w:type="spellStart"/>
      <w:r w:rsidRPr="00C8752B">
        <w:rPr>
          <w:rFonts w:ascii="Arial" w:hAnsi="Arial" w:cs="Arial"/>
          <w:color w:val="000000"/>
          <w:sz w:val="24"/>
          <w:u w:color="000000"/>
        </w:rPr>
        <w:t>późn</w:t>
      </w:r>
      <w:proofErr w:type="spellEnd"/>
      <w:r w:rsidRPr="00C8752B">
        <w:rPr>
          <w:rFonts w:ascii="Arial" w:hAnsi="Arial" w:cs="Arial"/>
          <w:color w:val="000000"/>
          <w:sz w:val="24"/>
          <w:u w:color="000000"/>
        </w:rPr>
        <w:t>. zm.) ujawnione zostaną po kliknięciu w ikonę</w:t>
      </w:r>
    </w:p>
    <w:sectPr w:rsidR="00A77B3E" w:rsidRPr="00C8752B">
      <w:footerReference w:type="default" r:id="rId23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3B5B0" w14:textId="77777777" w:rsidR="00FF48CC" w:rsidRDefault="0080217F">
      <w:r>
        <w:separator/>
      </w:r>
    </w:p>
  </w:endnote>
  <w:endnote w:type="continuationSeparator" w:id="0">
    <w:p w14:paraId="3977092A" w14:textId="77777777" w:rsidR="00FF48CC" w:rsidRDefault="008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6648B" w14:paraId="3D452320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BE69D8F" w14:textId="77777777" w:rsidR="0076648B" w:rsidRDefault="0080217F">
          <w:pPr>
            <w:jc w:val="left"/>
            <w:rPr>
              <w:sz w:val="18"/>
            </w:rPr>
          </w:pPr>
          <w:r>
            <w:rPr>
              <w:sz w:val="18"/>
            </w:rPr>
            <w:t>Id: B8C5A5EA-07F2-4275-A367-47678D56D6DD.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93765B1" w14:textId="77777777" w:rsidR="0076648B" w:rsidRDefault="0080217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8752B">
            <w:rPr>
              <w:noProof/>
              <w:sz w:val="18"/>
            </w:rPr>
            <w:t>26</w:t>
          </w:r>
          <w:r>
            <w:rPr>
              <w:sz w:val="18"/>
            </w:rPr>
            <w:fldChar w:fldCharType="end"/>
          </w:r>
        </w:p>
      </w:tc>
    </w:tr>
  </w:tbl>
  <w:p w14:paraId="206144B7" w14:textId="77777777" w:rsidR="0076648B" w:rsidRDefault="0076648B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6648B" w14:paraId="7939FCE0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621E1F7" w14:textId="77777777" w:rsidR="0076648B" w:rsidRDefault="0080217F">
          <w:pPr>
            <w:jc w:val="left"/>
            <w:rPr>
              <w:sz w:val="18"/>
            </w:rPr>
          </w:pPr>
          <w:r>
            <w:rPr>
              <w:sz w:val="18"/>
            </w:rPr>
            <w:t>Id: B8C5A5EA-07F2-4275-A367-47678D56D6DD.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CE6B1A6" w14:textId="77777777" w:rsidR="0076648B" w:rsidRDefault="0080217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8752B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14:paraId="40A719D5" w14:textId="77777777" w:rsidR="0076648B" w:rsidRDefault="0076648B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6648B" w14:paraId="3A0C4048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58F3B6A" w14:textId="77777777" w:rsidR="0076648B" w:rsidRDefault="0080217F">
          <w:pPr>
            <w:jc w:val="left"/>
            <w:rPr>
              <w:sz w:val="18"/>
            </w:rPr>
          </w:pPr>
          <w:r>
            <w:rPr>
              <w:sz w:val="18"/>
            </w:rPr>
            <w:t>Id: B8C5A5EA-07F2-4275-A367-47678D56D6DD.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2E72F3E" w14:textId="77777777" w:rsidR="0076648B" w:rsidRDefault="0080217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8752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30ACD12" w14:textId="77777777" w:rsidR="0076648B" w:rsidRDefault="0076648B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6648B" w14:paraId="7C851443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9CB408D" w14:textId="77777777" w:rsidR="0076648B" w:rsidRDefault="0080217F">
          <w:pPr>
            <w:jc w:val="left"/>
            <w:rPr>
              <w:sz w:val="18"/>
            </w:rPr>
          </w:pPr>
          <w:r>
            <w:rPr>
              <w:sz w:val="18"/>
            </w:rPr>
            <w:t>Id: B8C5A5EA-07F2-4275-A367-47678D56D6DD.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5782089" w14:textId="77777777" w:rsidR="0076648B" w:rsidRDefault="0080217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8752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8674F25" w14:textId="77777777" w:rsidR="0076648B" w:rsidRDefault="0076648B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6648B" w14:paraId="74786655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6D90603" w14:textId="77777777" w:rsidR="0076648B" w:rsidRDefault="0080217F">
          <w:pPr>
            <w:jc w:val="left"/>
            <w:rPr>
              <w:sz w:val="18"/>
            </w:rPr>
          </w:pPr>
          <w:r>
            <w:rPr>
              <w:sz w:val="18"/>
            </w:rPr>
            <w:t>Id: B8C5A5EA-07F2-4275-A367-47678D56D6DD.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EC847D4" w14:textId="77777777" w:rsidR="0076648B" w:rsidRDefault="0080217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8752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9FAAE4F" w14:textId="77777777" w:rsidR="0076648B" w:rsidRDefault="0076648B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17994" w14:textId="77777777" w:rsidR="00FF48CC" w:rsidRDefault="0080217F">
      <w:r>
        <w:separator/>
      </w:r>
    </w:p>
  </w:footnote>
  <w:footnote w:type="continuationSeparator" w:id="0">
    <w:p w14:paraId="6E9674B0" w14:textId="77777777" w:rsidR="00FF48CC" w:rsidRDefault="008021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1E7AB0"/>
    <w:rsid w:val="0076648B"/>
    <w:rsid w:val="0080217F"/>
    <w:rsid w:val="00A77B3E"/>
    <w:rsid w:val="00C8752B"/>
    <w:rsid w:val="00CA2A55"/>
    <w:rsid w:val="00FF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F2D059"/>
  <w15:docId w15:val="{A0849DC8-1BA9-42DB-B3D2-172F86112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0E24FCB2-7474-4E7E-A25E-4023C6C42CAA.jpg" TargetMode="External"/><Relationship Id="rId13" Type="http://schemas.openxmlformats.org/officeDocument/2006/relationships/image" Target="media/image4.png"/><Relationship Id="rId18" Type="http://schemas.openxmlformats.org/officeDocument/2006/relationships/image" Target="ZalacznikF51981D8-BF61-458D-A0EB-79EC48193694.jpg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Zalacznik8997994F-9085-4C9C-94F0-6FA9C5ED32F8.jpg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Zalacznik1494F7A8-4EDF-48C5-A0C7-0237BD8F0CF0.jpg" TargetMode="Externa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oter" Target="footer5.xml"/><Relationship Id="rId10" Type="http://schemas.openxmlformats.org/officeDocument/2006/relationships/image" Target="ZalacznikEF9CF080-3B5D-4F2B-8A4B-4FCE03246A77.jpg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96DC2360-D88C-4BD0-B106-A85A86BB4942.jpg" TargetMode="External"/><Relationship Id="rId22" Type="http://schemas.openxmlformats.org/officeDocument/2006/relationships/hyperlink" Target="file:///C:\Users\Jarzebska_M\ezdpuw\20220602113056718\Zalacznik4.g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10239</Words>
  <Characters>61437</Characters>
  <Application>Microsoft Office Word</Application>
  <DocSecurity>4</DocSecurity>
  <Lines>511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Miasta Piotrkowa Trybunalskiego</Company>
  <LinksUpToDate>false</LinksUpToDate>
  <CharactersWithSpaces>71533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LI/650/22 z dnia 25 maja 2022 r.</dc:title>
  <dc:subject>w sprawie miejscowego planu zagospodarowania przestrzennego w^rejonie ulic:
Pereca, Garncarskiej, Jerozolimskiej, M. Skłodowskiej – Curie i^Al. Kopernika
w Piotrkowie Trybunalskim.</dc:subject>
  <dc:creator>Mroz_M</dc:creator>
  <cp:lastModifiedBy>Jarzębska Monika</cp:lastModifiedBy>
  <cp:revision>2</cp:revision>
  <dcterms:created xsi:type="dcterms:W3CDTF">2022-06-02T09:31:00Z</dcterms:created>
  <dcterms:modified xsi:type="dcterms:W3CDTF">2022-06-02T09:31:00Z</dcterms:modified>
  <cp:category>Akt prawny</cp:category>
</cp:coreProperties>
</file>