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142A" w14:textId="1BA65DA2" w:rsidR="00372D4A" w:rsidRPr="00560E4E" w:rsidRDefault="00372D4A" w:rsidP="00560E4E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 w:rsidRPr="00560E4E">
        <w:rPr>
          <w:rFonts w:ascii="Arial" w:hAnsi="Arial" w:cs="Arial"/>
          <w:sz w:val="24"/>
          <w:szCs w:val="24"/>
        </w:rPr>
        <w:t xml:space="preserve">Załącznik </w:t>
      </w:r>
      <w:r w:rsidR="0000731E">
        <w:rPr>
          <w:rFonts w:ascii="Arial" w:hAnsi="Arial" w:cs="Arial"/>
          <w:sz w:val="24"/>
          <w:szCs w:val="24"/>
        </w:rPr>
        <w:t xml:space="preserve">Nr 1 </w:t>
      </w:r>
      <w:bookmarkStart w:id="0" w:name="_GoBack"/>
      <w:bookmarkEnd w:id="0"/>
      <w:r w:rsidRPr="00560E4E">
        <w:rPr>
          <w:rFonts w:ascii="Arial" w:hAnsi="Arial" w:cs="Arial"/>
          <w:sz w:val="24"/>
          <w:szCs w:val="24"/>
        </w:rPr>
        <w:t>do Zarządzenia Nr 182</w:t>
      </w:r>
    </w:p>
    <w:p w14:paraId="3B6E23C8" w14:textId="77777777" w:rsidR="00560E4E" w:rsidRDefault="00372D4A" w:rsidP="00560E4E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 w:rsidRPr="00560E4E">
        <w:rPr>
          <w:rFonts w:ascii="Arial" w:hAnsi="Arial" w:cs="Arial"/>
          <w:sz w:val="24"/>
          <w:szCs w:val="24"/>
        </w:rPr>
        <w:t>Prezydenta Miasta Piotrkowa Trybunalskiego</w:t>
      </w:r>
    </w:p>
    <w:p w14:paraId="34B6D953" w14:textId="0B5F7CD6" w:rsidR="00BA13CD" w:rsidRPr="00560E4E" w:rsidRDefault="00372D4A" w:rsidP="00560E4E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 w:rsidRPr="00560E4E">
        <w:rPr>
          <w:rFonts w:ascii="Arial" w:hAnsi="Arial" w:cs="Arial"/>
          <w:sz w:val="24"/>
          <w:szCs w:val="24"/>
        </w:rPr>
        <w:t>z dnia 1 czerwca 2022 roku</w:t>
      </w:r>
    </w:p>
    <w:sdt>
      <w:sdtPr>
        <w:rPr>
          <w:rFonts w:ascii="Times New Roman" w:hAnsi="Times New Roman" w:cs="Times New Roman"/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1524781150"/>
            <w:placeholder>
              <w:docPart w:val="8F3C302D5FA04D90A4373BBA4B6A6C93"/>
            </w:placeholder>
          </w:sdtPr>
          <w:sdtEndPr/>
          <w:sdtContent>
            <w:p w14:paraId="167A2EED" w14:textId="35A5B33A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Na podstawie art. 30 ust. 1 ustawy z dnia 8 marca 1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990 roku o samorządzie gminnym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(Dz. U. z 2022 r. poz. 559 z późn.zm.), art. 4 ust. 1 pkt 15, art. 11 ust. 1 pkt 1 i ust. 2, art. 13 ustawy z dnia 24 kwietnia 2003 roku o działalności pożytku publicznego i o wolontariacie (Dz. U. z 2020, poz. 1057 z późn.zm.), ustawy z dnia 26 października 1982 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roku o wychowaniu w trzeźwości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i przeciwdziałaniu alkoholizmowi (Dz. U. z 2021r., poz. 1119 z późn.zm.) oraz na podstawie Uchwały Nr XLVI/578/21 Rady Miasta Piotrkowa Trybunalskiego z dnia 22 grudnia 2021 roku w sprawie uchwały budżetowej Miasta na 2022 rok zmienionej Uchwałą Nr LI/648/22 z dnia 25 maja 2022 roku.</w:t>
              </w:r>
            </w:p>
            <w:p w14:paraId="4EB51D95" w14:textId="77777777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PREZYDENT MIASTA PIOTRKOWA TRYBUNALSKIEGO</w:t>
              </w:r>
            </w:p>
            <w:p w14:paraId="153CCC07" w14:textId="7C2695B7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ogłasza otwarty konkurs ofert na wsparcie realizacji zadania </w:t>
              </w:r>
            </w:p>
            <w:p w14:paraId="586BD56D" w14:textId="77777777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publicznego Miasta Piotrkowa Trybunalskiego z zakresu przeciwdziałania </w:t>
              </w:r>
            </w:p>
            <w:p w14:paraId="3BE788DF" w14:textId="77777777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patologiom społecznym w 2022 roku pod nazwą „Organizacja wypoczynku letniego – kolonii oraz obozów profilaktycznych dla dzieci i młodzieży z terenu </w:t>
              </w:r>
            </w:p>
            <w:p w14:paraId="3C7A976C" w14:textId="77777777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Miasta Piotrkowa Trybunalskiego”</w:t>
              </w:r>
            </w:p>
            <w:p w14:paraId="69BEE94E" w14:textId="4906A7BD" w:rsidR="00463B70" w:rsidRPr="00710C8F" w:rsidRDefault="00463B70" w:rsidP="00710C8F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 otwartym konkursie ofert mogą uczestniczyć podmioty, o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których mowa w ustawie z dnia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24 kwietnia 2003 roku o działalności pożytku publicznego i o wolontariacie (Dz. U. z 2020 r., poz. 1057 z późn.zm.), a mianowicie:</w:t>
              </w:r>
            </w:p>
            <w:p w14:paraId="5C0951DE" w14:textId="77777777" w:rsidR="00463B70" w:rsidRPr="00710C8F" w:rsidRDefault="00463B70" w:rsidP="00710C8F">
              <w:pPr>
                <w:widowControl w:val="0"/>
                <w:numPr>
                  <w:ilvl w:val="0"/>
                  <w:numId w:val="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organizacje pozarządowe prowadzące działalność pożytku publicznego,</w:t>
              </w:r>
            </w:p>
            <w:p w14:paraId="6C968724" w14:textId="65D8323D" w:rsidR="00463B70" w:rsidRPr="00710C8F" w:rsidRDefault="00463B70" w:rsidP="00710C8F">
              <w:pPr>
                <w:widowControl w:val="0"/>
                <w:numPr>
                  <w:ilvl w:val="0"/>
                  <w:numId w:val="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podmioty wymienione w art. 3 ust. 3 ustawy o działalności pożytku publicznego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br/>
                <w:t xml:space="preserve"> i o wolontariacie</w:t>
              </w:r>
              <w:r w:rsidR="002409A3" w:rsidRPr="00710C8F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</w:p>
            <w:p w14:paraId="65CB5395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350"/>
                <w:gridCol w:w="8712"/>
              </w:tblGrid>
              <w:tr w:rsidR="00463B70" w:rsidRPr="00710C8F" w14:paraId="3F0AAF59" w14:textId="77777777" w:rsidTr="00A62872">
                <w:tc>
                  <w:tcPr>
                    <w:tcW w:w="250" w:type="dxa"/>
                  </w:tcPr>
                  <w:p w14:paraId="44525D5C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I.</w:t>
                    </w:r>
                  </w:p>
                </w:tc>
                <w:tc>
                  <w:tcPr>
                    <w:tcW w:w="8960" w:type="dxa"/>
                  </w:tcPr>
                  <w:p w14:paraId="26D47148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Zadanie i wysokość środków finansowych przeznaczonych na jego realizację:</w:t>
                    </w:r>
                  </w:p>
                </w:tc>
              </w:tr>
            </w:tbl>
            <w:p w14:paraId="17F5BB28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388"/>
                <w:gridCol w:w="6960"/>
                <w:gridCol w:w="1714"/>
              </w:tblGrid>
              <w:tr w:rsidR="00463B70" w:rsidRPr="00710C8F" w14:paraId="1862DDA0" w14:textId="77777777" w:rsidTr="00A62872">
                <w:tc>
                  <w:tcPr>
                    <w:tcW w:w="392" w:type="dxa"/>
                  </w:tcPr>
                  <w:p w14:paraId="4919AE7E" w14:textId="77777777" w:rsidR="00463B70" w:rsidRPr="00710C8F" w:rsidRDefault="00463B70" w:rsidP="00710C8F">
                    <w:pPr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087" w:type="dxa"/>
                  </w:tcPr>
                  <w:p w14:paraId="7948041E" w14:textId="77777777" w:rsidR="00463B70" w:rsidRPr="00710C8F" w:rsidRDefault="00463B70" w:rsidP="00710C8F">
                    <w:pPr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Organizacja wypoczynku letniego dla dzieci i młodzieży – kolonii oraz obozów profilaktycznych dla dzieci i młodzieży z rodzin alkoholowych </w:t>
                    </w: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>i dotkniętych przemocą domową z terenu Miasta Piotrkowa Trybunalskiego.</w:t>
                    </w:r>
                  </w:p>
                </w:tc>
                <w:tc>
                  <w:tcPr>
                    <w:tcW w:w="1733" w:type="dxa"/>
                  </w:tcPr>
                  <w:p w14:paraId="5AD2E5C3" w14:textId="77777777" w:rsidR="00463B70" w:rsidRPr="00710C8F" w:rsidRDefault="00463B70" w:rsidP="00710C8F">
                    <w:pPr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7C55536" w14:textId="77777777" w:rsidR="00463B70" w:rsidRPr="00710C8F" w:rsidRDefault="00463B70" w:rsidP="00710C8F">
                    <w:pPr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90.000 zł</w:t>
                    </w:r>
                  </w:p>
                </w:tc>
              </w:tr>
            </w:tbl>
            <w:p w14:paraId="23DCF0E9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417"/>
                <w:gridCol w:w="8645"/>
              </w:tblGrid>
              <w:tr w:rsidR="00463B70" w:rsidRPr="00710C8F" w14:paraId="286C8D46" w14:textId="77777777" w:rsidTr="00A62872">
                <w:tc>
                  <w:tcPr>
                    <w:tcW w:w="250" w:type="dxa"/>
                  </w:tcPr>
                  <w:p w14:paraId="6E12CD72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II.</w:t>
                    </w:r>
                  </w:p>
                </w:tc>
                <w:tc>
                  <w:tcPr>
                    <w:tcW w:w="8960" w:type="dxa"/>
                  </w:tcPr>
                  <w:p w14:paraId="62606E19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Zasady przyznawania dotacji:</w:t>
                    </w:r>
                  </w:p>
                </w:tc>
              </w:tr>
            </w:tbl>
            <w:p w14:paraId="67748840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p w14:paraId="7C9BE693" w14:textId="77777777" w:rsidR="00463B70" w:rsidRPr="00710C8F" w:rsidRDefault="00463B70" w:rsidP="00710C8F">
              <w:pPr>
                <w:widowControl w:val="0"/>
                <w:numPr>
                  <w:ilvl w:val="0"/>
                  <w:numId w:val="7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Dotację mogą uzyskać podmioty, które:</w:t>
              </w:r>
            </w:p>
            <w:p w14:paraId="03E981C1" w14:textId="77777777" w:rsidR="00463B70" w:rsidRPr="00710C8F" w:rsidRDefault="00463B70" w:rsidP="00710C8F">
              <w:pPr>
                <w:widowControl w:val="0"/>
                <w:numPr>
                  <w:ilvl w:val="0"/>
                  <w:numId w:val="8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spełniły wymogi i inne warunki określone w ogłoszeniu i regulaminie otwartego konkursu ofert na realizację zadania,</w:t>
              </w:r>
            </w:p>
            <w:p w14:paraId="30236F67" w14:textId="77777777" w:rsidR="00463B70" w:rsidRPr="00710C8F" w:rsidRDefault="00463B70" w:rsidP="00710C8F">
              <w:pPr>
                <w:widowControl w:val="0"/>
                <w:numPr>
                  <w:ilvl w:val="0"/>
                  <w:numId w:val="8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otrzymały pozytywną opinię i zostały wyłonione w postępowaniu konkursowym.</w:t>
              </w:r>
            </w:p>
            <w:p w14:paraId="5A75954A" w14:textId="77777777" w:rsidR="00463B70" w:rsidRPr="00710C8F" w:rsidRDefault="00463B70" w:rsidP="00710C8F">
              <w:pPr>
                <w:widowControl w:val="0"/>
                <w:numPr>
                  <w:ilvl w:val="0"/>
                  <w:numId w:val="7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Z dotacji można sfinansować następujące koszty:</w:t>
              </w:r>
            </w:p>
            <w:p w14:paraId="6BED0DAC" w14:textId="77777777" w:rsidR="00463B70" w:rsidRPr="00710C8F" w:rsidRDefault="00463B70" w:rsidP="00710C8F">
              <w:pPr>
                <w:widowControl w:val="0"/>
                <w:numPr>
                  <w:ilvl w:val="0"/>
                  <w:numId w:val="9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koszty zakwaterowania i wyżywienia uczestników wypoczynku,</w:t>
              </w:r>
            </w:p>
            <w:p w14:paraId="00327EDE" w14:textId="02E359A9" w:rsidR="00463B70" w:rsidRPr="00710C8F" w:rsidRDefault="00463B70" w:rsidP="00710C8F">
              <w:pPr>
                <w:widowControl w:val="0"/>
                <w:numPr>
                  <w:ilvl w:val="0"/>
                  <w:numId w:val="9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koszty rzeczowe np. zakup biletów wstępu, nagród, środków higienicznych i socjalnych, materiałów potrzebnyc</w:t>
              </w:r>
              <w:r w:rsidR="00710C8F">
                <w:rPr>
                  <w:rFonts w:ascii="Arial" w:eastAsia="Calibri" w:hAnsi="Arial" w:cs="Arial"/>
                  <w:sz w:val="24"/>
                  <w:szCs w:val="24"/>
                </w:rPr>
                <w:t xml:space="preserve">h do realizacji zadania, koszty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ubezpieczenia,</w:t>
              </w:r>
            </w:p>
            <w:p w14:paraId="2C39B609" w14:textId="77777777" w:rsidR="00463B70" w:rsidRPr="00710C8F" w:rsidRDefault="00463B70" w:rsidP="00710C8F">
              <w:pPr>
                <w:widowControl w:val="0"/>
                <w:numPr>
                  <w:ilvl w:val="0"/>
                  <w:numId w:val="9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zakup usług (transport, wycieczki, wypożyczenie sprzętu itp.),</w:t>
              </w:r>
            </w:p>
            <w:p w14:paraId="33EBF5FB" w14:textId="126BC961" w:rsidR="00463B70" w:rsidRPr="00710C8F" w:rsidRDefault="00463B70" w:rsidP="00710C8F">
              <w:pPr>
                <w:widowControl w:val="0"/>
                <w:numPr>
                  <w:ilvl w:val="0"/>
                  <w:numId w:val="9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koszty administracyjne (koszty telekomunikacyjne, zakup materiałów biurowych –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br/>
                <w:t>w części dotyczącej realizacji zadania).</w:t>
              </w: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34"/>
                <w:gridCol w:w="8676"/>
              </w:tblGrid>
              <w:tr w:rsidR="00463B70" w:rsidRPr="00710C8F" w14:paraId="1E6DE073" w14:textId="77777777" w:rsidTr="00A62872">
                <w:tc>
                  <w:tcPr>
                    <w:tcW w:w="534" w:type="dxa"/>
                  </w:tcPr>
                  <w:p w14:paraId="7E4865A9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III.</w:t>
                    </w:r>
                  </w:p>
                </w:tc>
                <w:tc>
                  <w:tcPr>
                    <w:tcW w:w="8676" w:type="dxa"/>
                  </w:tcPr>
                  <w:p w14:paraId="3A710F89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Terminy i warunki realizacji zadania:</w:t>
                    </w:r>
                  </w:p>
                </w:tc>
              </w:tr>
            </w:tbl>
            <w:p w14:paraId="784861E8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p w14:paraId="0BE10216" w14:textId="7A6822C5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Podmiot zobowiązuje się do realizacji zadania w terminie od 28 czerwca 2022 roku do</w:t>
              </w:r>
              <w:r w:rsidR="00CB3A5D" w:rsidRPr="00710C8F">
                <w:rPr>
                  <w:rFonts w:ascii="Arial" w:eastAsia="Calibri" w:hAnsi="Arial" w:cs="Arial"/>
                  <w:sz w:val="24"/>
                  <w:szCs w:val="24"/>
                </w:rPr>
                <w:t> 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31 sierpnia 2022 roku. </w:t>
              </w:r>
            </w:p>
            <w:p w14:paraId="5219C2C2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Dofinansowaniu podlegać będą następujące formy wypoczynku:</w:t>
              </w:r>
            </w:p>
            <w:p w14:paraId="4151723B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left="720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a) wypoczynek poza miejscem zamieszkania dzieci i młodzieży trwający minimum 10 dni (9 noclegów),</w:t>
              </w:r>
            </w:p>
            <w:p w14:paraId="6C980E88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left="720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b) wypoczynek w miejscu zamieszkania trwający minimum 14 dni.</w:t>
              </w:r>
            </w:p>
            <w:p w14:paraId="20727417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Z wypoczynku dofinansowanego przez Miasto Piotrków Trybunalski mogą skorzystać dzieci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br/>
                <w:t xml:space="preserve">i młodzież w wieku do ukończenia 18 roku życia zamieszkałe na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lastRenderedPageBreak/>
                <w:t xml:space="preserve">terenie Miasta Piotrkowa Trybunalskiego. </w:t>
              </w:r>
            </w:p>
            <w:p w14:paraId="61DC536C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Na potrzeby kontroli realizacji zadania przez upoważnionych pracowników Urzędu Miasta Piotrkowa Trybunalskiego, organizator jest zobowiązany posiadać listę uczestników wypoczynku wraz z numerem PESEL oraz telefonem kontaktowym do opiekunów prawnych.</w:t>
              </w:r>
            </w:p>
            <w:p w14:paraId="5C79317F" w14:textId="220CA0B2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Ustalenie miejsca zamieszkania dzieci następuje</w:t>
              </w:r>
              <w:r w:rsidR="00710C8F">
                <w:rPr>
                  <w:rFonts w:ascii="Arial" w:eastAsia="Calibri" w:hAnsi="Arial" w:cs="Arial"/>
                  <w:sz w:val="24"/>
                  <w:szCs w:val="24"/>
                </w:rPr>
                <w:t xml:space="preserve"> na podstawie danych zawartych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w oświadczeniu ich opiekunów prawnych zweryfikowanych przez organizatora wypoczynku. </w:t>
              </w:r>
            </w:p>
            <w:p w14:paraId="306CB81E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Obiekt lub teren przeznaczony na wypoczynek musi spełniać wymogi dotyczące:</w:t>
              </w:r>
            </w:p>
            <w:p w14:paraId="55E02EB7" w14:textId="77777777" w:rsidR="00463B70" w:rsidRPr="00710C8F" w:rsidRDefault="00463B70" w:rsidP="00710C8F">
              <w:pPr>
                <w:widowControl w:val="0"/>
                <w:numPr>
                  <w:ilvl w:val="0"/>
                  <w:numId w:val="1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bezpieczeństwa,</w:t>
              </w:r>
            </w:p>
            <w:p w14:paraId="146CF7D4" w14:textId="77777777" w:rsidR="00463B70" w:rsidRPr="00710C8F" w:rsidRDefault="00463B70" w:rsidP="00710C8F">
              <w:pPr>
                <w:widowControl w:val="0"/>
                <w:numPr>
                  <w:ilvl w:val="0"/>
                  <w:numId w:val="1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ochrony przeciwpożarowej,</w:t>
              </w:r>
            </w:p>
            <w:p w14:paraId="336C2F39" w14:textId="77777777" w:rsidR="00463B70" w:rsidRPr="00710C8F" w:rsidRDefault="00463B70" w:rsidP="00710C8F">
              <w:pPr>
                <w:widowControl w:val="0"/>
                <w:numPr>
                  <w:ilvl w:val="0"/>
                  <w:numId w:val="1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warunków higieniczno- sanitarnych,</w:t>
              </w:r>
            </w:p>
            <w:p w14:paraId="585C61D1" w14:textId="77777777" w:rsidR="00463B70" w:rsidRPr="00710C8F" w:rsidRDefault="00463B70" w:rsidP="00710C8F">
              <w:pPr>
                <w:widowControl w:val="0"/>
                <w:numPr>
                  <w:ilvl w:val="0"/>
                  <w:numId w:val="11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ochrony środowiska.</w:t>
              </w:r>
            </w:p>
            <w:p w14:paraId="6B216D09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Oferent podczas wypoczynku zapewni uczestnikom:</w:t>
              </w:r>
            </w:p>
            <w:p w14:paraId="7C60D180" w14:textId="77777777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transport i zakwaterowanie,</w:t>
              </w:r>
            </w:p>
            <w:p w14:paraId="2952169C" w14:textId="77777777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ubezpieczenie,</w:t>
              </w:r>
            </w:p>
            <w:p w14:paraId="4D3A22EE" w14:textId="77777777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minimum 3 posiłki i napoje codziennie,</w:t>
              </w:r>
            </w:p>
            <w:p w14:paraId="4A5AF082" w14:textId="414A587D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realizację odpowiedniego programu profilaktycznego dot. uzależnienia od</w:t>
              </w:r>
              <w:r w:rsidR="00710C8F">
                <w:rPr>
                  <w:rFonts w:ascii="Arial" w:eastAsia="Calibri" w:hAnsi="Arial" w:cs="Arial"/>
                  <w:sz w:val="24"/>
                  <w:szCs w:val="24"/>
                </w:rPr>
                <w:t xml:space="preserve"> alkoholu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i narkotyków,</w:t>
              </w:r>
            </w:p>
            <w:p w14:paraId="1DC98239" w14:textId="77777777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opiekę wykwalifikowanej kadry,</w:t>
              </w:r>
            </w:p>
            <w:p w14:paraId="569573C3" w14:textId="77777777" w:rsidR="00463B70" w:rsidRPr="00710C8F" w:rsidRDefault="00463B70" w:rsidP="00710C8F">
              <w:pPr>
                <w:widowControl w:val="0"/>
                <w:numPr>
                  <w:ilvl w:val="0"/>
                  <w:numId w:val="10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opiekę medyczną w razie konieczności.</w:t>
              </w:r>
            </w:p>
            <w:p w14:paraId="3E86DC60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Zadanie powinno być realizowane z najwyższą starannością, zgodnie z zawartymi umowami oraz obowiązującymi standardami i przepisami prawa.</w:t>
              </w:r>
            </w:p>
            <w:p w14:paraId="56C1353A" w14:textId="77777777" w:rsidR="00463B70" w:rsidRPr="00710C8F" w:rsidRDefault="00463B70" w:rsidP="00710C8F">
              <w:pPr>
                <w:widowControl w:val="0"/>
                <w:numPr>
                  <w:ilvl w:val="0"/>
                  <w:numId w:val="2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W trakcie realizacji zadania, w ramach prowadzonego nadzoru merytorycznego zwraca się szczególną uwagę na:</w:t>
              </w:r>
            </w:p>
            <w:p w14:paraId="4D23D08E" w14:textId="77777777" w:rsidR="00463B70" w:rsidRPr="00710C8F" w:rsidRDefault="00463B70" w:rsidP="00710C8F">
              <w:pPr>
                <w:widowControl w:val="0"/>
                <w:numPr>
                  <w:ilvl w:val="0"/>
                  <w:numId w:val="4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wykorzystanie przyznanych kwot dotacji zgodnie z przeznaczeniem oraz z zapisami umów stanowiących podstawę przekazania dotacji,</w:t>
              </w:r>
            </w:p>
            <w:p w14:paraId="7204B34C" w14:textId="732A2BBF" w:rsidR="00463B70" w:rsidRPr="00710C8F" w:rsidRDefault="00463B70" w:rsidP="00710C8F">
              <w:pPr>
                <w:widowControl w:val="0"/>
                <w:numPr>
                  <w:ilvl w:val="0"/>
                  <w:numId w:val="4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prawidłowe, rzetelne oraz terminowe sporządza</w:t>
              </w:r>
              <w:r w:rsidR="00710C8F">
                <w:rPr>
                  <w:rFonts w:ascii="Arial" w:eastAsia="Calibri" w:hAnsi="Arial" w:cs="Arial"/>
                  <w:sz w:val="24"/>
                  <w:szCs w:val="24"/>
                </w:rPr>
                <w:t xml:space="preserve">nie sprawozdań finansowych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i merytorycznych,</w:t>
              </w:r>
            </w:p>
            <w:p w14:paraId="395F5109" w14:textId="77777777" w:rsidR="00463B70" w:rsidRPr="00710C8F" w:rsidRDefault="00463B70" w:rsidP="00710C8F">
              <w:pPr>
                <w:widowControl w:val="0"/>
                <w:numPr>
                  <w:ilvl w:val="0"/>
                  <w:numId w:val="4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oszczędne i celowe wydatkowanie przyznanych środków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lastRenderedPageBreak/>
                <w:t>finansowych,</w:t>
              </w:r>
            </w:p>
            <w:p w14:paraId="18B4ABCD" w14:textId="77777777" w:rsidR="00463B70" w:rsidRPr="00710C8F" w:rsidRDefault="00463B70" w:rsidP="00710C8F">
              <w:pPr>
                <w:widowControl w:val="0"/>
                <w:numPr>
                  <w:ilvl w:val="0"/>
                  <w:numId w:val="4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realizację programu socjoterapeutycznego podczas pobytu dzieci na wypoczynku.</w:t>
              </w:r>
            </w:p>
            <w:p w14:paraId="662F8FAB" w14:textId="35C258F3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left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11. Organizator wypoczynku ma obowiązek zgłoszenia do Kuratorium Oświaty organizacji wypoczynku.</w:t>
              </w:r>
            </w:p>
            <w:p w14:paraId="49A775CD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534"/>
                <w:gridCol w:w="8528"/>
              </w:tblGrid>
              <w:tr w:rsidR="00463B70" w:rsidRPr="00710C8F" w14:paraId="6F818454" w14:textId="77777777" w:rsidTr="00A62872">
                <w:tc>
                  <w:tcPr>
                    <w:tcW w:w="534" w:type="dxa"/>
                  </w:tcPr>
                  <w:p w14:paraId="385F1BC8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IV.</w:t>
                    </w:r>
                  </w:p>
                </w:tc>
                <w:tc>
                  <w:tcPr>
                    <w:tcW w:w="8676" w:type="dxa"/>
                  </w:tcPr>
                  <w:p w14:paraId="33B9871F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Termin, sposób i miejsce składania ofert:</w:t>
                    </w:r>
                  </w:p>
                </w:tc>
              </w:tr>
            </w:tbl>
            <w:p w14:paraId="56BE8313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p w14:paraId="65B753C8" w14:textId="54F436CC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Oferty należy składać w ni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eprzekraczalnym terminie do dnia 22 czerwca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2022 roku do godziny 15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pl-PL"/>
                </w:rPr>
                <w:t>30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w punkcie informacyjnym Urzędu Miasta w Piotrkowie Trybunalskim przy Pasażu Karola Rudowskiego 10.</w:t>
              </w:r>
            </w:p>
            <w:p w14:paraId="4515FE5E" w14:textId="39553455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Oferta musi być sporządzona zgodnie z wzorem określonym w rozporządzeniu Przewodniczącego Komitetu do Spraw Pożytku Publicznego z dnia 24 października 2018 roku w sprawie wzorów ofert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br/>
                <w:t xml:space="preserve"> i ramowych wzorów umów dotyczących realizacji zadań publ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icznych oraz wzorów </w:t>
              </w:r>
              <w:proofErr w:type="spellStart"/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sprawozdań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z</w:t>
              </w:r>
              <w:proofErr w:type="spellEnd"/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wykonania tych zadań (Dz. U. z 2018 r., poz. 2057).</w:t>
              </w:r>
            </w:p>
            <w:p w14:paraId="77CC2666" w14:textId="080AD8A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Do ofert</w:t>
              </w:r>
              <w:r w:rsidR="00CB3A5D" w:rsidRPr="00710C8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y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 należy dołączyć:</w:t>
              </w:r>
            </w:p>
            <w:p w14:paraId="6DEA177B" w14:textId="77777777" w:rsidR="00463B70" w:rsidRPr="00710C8F" w:rsidRDefault="00463B70" w:rsidP="00710C8F">
              <w:pPr>
                <w:widowControl w:val="0"/>
                <w:numPr>
                  <w:ilvl w:val="0"/>
                  <w:numId w:val="3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 xml:space="preserve">aktualny wypis z Krajowego Rejestru Sądowego lub odpowiednio wyciąg z ewidencji potwierdzającej status prawny oferenta i umocowanie osób go reprezentujących – ważny </w:t>
              </w: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br/>
                <w:t>3 miesiące od daty wystawienia,</w:t>
              </w:r>
            </w:p>
            <w:p w14:paraId="64E3872E" w14:textId="489605CF" w:rsidR="00463B70" w:rsidRPr="00710C8F" w:rsidRDefault="00463B70" w:rsidP="00710C8F">
              <w:pPr>
                <w:widowControl w:val="0"/>
                <w:numPr>
                  <w:ilvl w:val="0"/>
                  <w:numId w:val="3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aktualny statut organizacji lub jego kserokopię.</w:t>
              </w:r>
            </w:p>
            <w:p w14:paraId="4DCE69FC" w14:textId="3E69BE80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Wszystkie dokumenty przedstawione w formie kserokopii muszą zostać potwierdzone za zgodność z oryginałem (na każdej stronie) przez osoby upoważnione do reprezentowania oferenta.</w:t>
              </w:r>
            </w:p>
            <w:p w14:paraId="508A8B56" w14:textId="79BE085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Szczegółowe informacje dotyczące konkursu wraz z formularzem oferty i regulaminem konkursu dostępne są w Biuletynie Informacji Publicznej na stronie internetowej Urzędu Miasta Piotrkowa Trybunalskiego </w:t>
              </w:r>
              <w:hyperlink r:id="rId8" w:history="1">
                <w:r w:rsidRPr="00710C8F">
                  <w:rPr>
                    <w:rFonts w:ascii="Arial" w:eastAsia="Times New Roman" w:hAnsi="Arial" w:cs="Arial"/>
                    <w:color w:val="0563C1"/>
                    <w:sz w:val="24"/>
                    <w:szCs w:val="24"/>
                    <w:u w:val="single"/>
                    <w:lang w:eastAsia="pl-PL"/>
                  </w:rPr>
                  <w:t>www.piotrkow.pl</w:t>
                </w:r>
              </w:hyperlink>
              <w:r w:rsidRPr="00710C8F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l-PL"/>
                </w:rPr>
                <w:t>,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a także w Referacie Spraw Społecznych, pokój 318, tel. 732-77-42.</w:t>
              </w:r>
            </w:p>
            <w:tbl>
              <w:tblPr>
                <w:tblStyle w:val="Tabela-Siatka1"/>
                <w:tblW w:w="0" w:type="auto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443"/>
                <w:gridCol w:w="8619"/>
              </w:tblGrid>
              <w:tr w:rsidR="00463B70" w:rsidRPr="00710C8F" w14:paraId="65603624" w14:textId="77777777" w:rsidTr="00A62872">
                <w:tc>
                  <w:tcPr>
                    <w:tcW w:w="392" w:type="dxa"/>
                  </w:tcPr>
                  <w:p w14:paraId="6E103DCE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V.</w:t>
                    </w:r>
                  </w:p>
                </w:tc>
                <w:tc>
                  <w:tcPr>
                    <w:tcW w:w="8818" w:type="dxa"/>
                  </w:tcPr>
                  <w:p w14:paraId="001FF755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>Termin, tryb i kryteria stosowane przy wyborze ofert:</w:t>
                    </w:r>
                  </w:p>
                </w:tc>
              </w:tr>
            </w:tbl>
            <w:p w14:paraId="370A011C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</w:p>
            <w:p w14:paraId="15D964F8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ab/>
                <w:t xml:space="preserve">Złożone oferty zostaną rozpatrzone przez Komisję Konkursową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lastRenderedPageBreak/>
                <w:t>powołaną przez Prezydenta Miasta Piotrkowa Trybunalskiego w ciągu 5 dni od daty zakończenia składania ofert, w oparciu o następujące kryteria:</w:t>
              </w:r>
            </w:p>
            <w:p w14:paraId="500330BF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left="284" w:hanging="284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 1) formalne:</w:t>
              </w:r>
            </w:p>
            <w:p w14:paraId="2571E123" w14:textId="77777777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oferta została złożona w terminie określonym w ogłoszeniu (TAK/NIE),</w:t>
              </w:r>
            </w:p>
            <w:p w14:paraId="1CD6B5B6" w14:textId="77777777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oferta została złożona przez podmiot uprawniony (TAK/NIE),</w:t>
              </w:r>
            </w:p>
            <w:p w14:paraId="7405D138" w14:textId="77777777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zadanie jest zgodne z działalnością statutową oferenta (TAK/NIE),</w:t>
              </w:r>
            </w:p>
            <w:p w14:paraId="1E3843D6" w14:textId="77777777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oferta została sporządzona na właściwym formularzu (TAK/NIE),</w:t>
              </w:r>
            </w:p>
            <w:p w14:paraId="6F8F3132" w14:textId="77777777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rodzaj zadania wskazany w ofercie mieści się w zakresie zadań wskazanych w ogłoszeniu (TAK/NIE),</w:t>
              </w:r>
            </w:p>
            <w:p w14:paraId="635F3DCD" w14:textId="2C8BF315" w:rsidR="00463B70" w:rsidRPr="00710C8F" w:rsidRDefault="00463B70" w:rsidP="00710C8F">
              <w:pPr>
                <w:widowControl w:val="0"/>
                <w:numPr>
                  <w:ilvl w:val="0"/>
                  <w:numId w:val="12"/>
                </w:numPr>
                <w:tabs>
                  <w:tab w:val="left" w:pos="284"/>
                </w:tabs>
                <w:suppressAutoHyphens/>
                <w:spacing w:after="0" w:line="360" w:lineRule="auto"/>
                <w:ind w:firstLine="66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czy oferta jest kompletna (zawiera wszystkie załączni</w:t>
              </w:r>
              <w:r w:rsid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ki złożone we właściwej formie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i podpisane lub potwierdzone za zgodność z oryginałem we właściwy sposób przez uprawnione osoby (TAK/NIE).</w:t>
              </w:r>
            </w:p>
            <w:p w14:paraId="57D2DE61" w14:textId="77777777" w:rsidR="00463B70" w:rsidRPr="00710C8F" w:rsidRDefault="00463B70" w:rsidP="00710C8F">
              <w:pPr>
                <w:widowControl w:val="0"/>
                <w:tabs>
                  <w:tab w:val="left" w:pos="142"/>
                </w:tabs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ab/>
                <w:t>2) merytoryczne:</w:t>
              </w:r>
            </w:p>
            <w:p w14:paraId="4FAA0136" w14:textId="77777777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200" w:line="360" w:lineRule="auto"/>
                <w:contextualSpacing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ocena możliwości realizacji zadania przez oferenta (ocena w skali 0 – 10 pkt),</w:t>
              </w:r>
            </w:p>
            <w:p w14:paraId="47FD4384" w14:textId="50FF2D9F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200" w:line="360" w:lineRule="auto"/>
                <w:contextualSpacing/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>kalkulacja kosztów zadania w odniesieniu do oferowanego szczegółowego zakresu rzeczowego zadania: szczegółowe i precyzyjne wyliczenie kosztów, innych źródeł finansowania</w:t>
              </w:r>
              <w:r w:rsidR="00AC6DEC"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>,</w:t>
              </w: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 xml:space="preserve"> w tym wkład własny wnioskodawcy (ocena w skali 0 – 20 pkt),</w:t>
              </w:r>
            </w:p>
            <w:p w14:paraId="5A14030E" w14:textId="77777777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200" w:line="360" w:lineRule="auto"/>
                <w:contextualSpacing/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>dysponowanie kadrą zdolną do realizacji zadania (kwalifikacje i doświadczenie) (ocena w skali 0 – 20 pkt),</w:t>
              </w:r>
            </w:p>
            <w:p w14:paraId="4CC623B3" w14:textId="77777777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200" w:line="360" w:lineRule="auto"/>
                <w:contextualSpacing/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 xml:space="preserve"> wkład rzeczowy i osobowy; praca wolontariuszy i praca społeczna członków (ocena w skali </w:t>
              </w:r>
            </w:p>
            <w:p w14:paraId="68546E47" w14:textId="77777777" w:rsidR="00463B70" w:rsidRPr="00710C8F" w:rsidRDefault="00463B70" w:rsidP="00710C8F">
              <w:pPr>
                <w:tabs>
                  <w:tab w:val="left" w:pos="0"/>
                </w:tabs>
                <w:spacing w:after="200" w:line="360" w:lineRule="auto"/>
                <w:ind w:left="720"/>
                <w:contextualSpacing/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>0 – 10 pkt),</w:t>
              </w:r>
            </w:p>
            <w:p w14:paraId="0A179B59" w14:textId="77777777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 xml:space="preserve">doświadczenie oferenta w organizacji wypoczynku dla dzieci z rodzin najuboższych (ocena </w:t>
              </w: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br/>
                <w:t>w skali 0 – 10 pkt),</w:t>
              </w:r>
            </w:p>
            <w:p w14:paraId="46AF5AFB" w14:textId="77777777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ilość dzieci, dla których organizowany jest wypoczynek (ocena w skali 0 – 10 pkt),</w:t>
              </w:r>
            </w:p>
            <w:p w14:paraId="50422B1F" w14:textId="37161A7F" w:rsidR="00463B70" w:rsidRPr="00710C8F" w:rsidRDefault="00463B70" w:rsidP="00710C8F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lastRenderedPageBreak/>
                <w:t>dotychczasowa współpraca z jednostkami samorzą</w:t>
              </w:r>
              <w:r w:rsid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 xml:space="preserve">du terytorialnego; rzetelność </w:t>
              </w:r>
              <w:r w:rsidRPr="00710C8F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t>i terminowość oraz sposób rozliczenia otrzymanych na ten cel środków (ocena w skali 0-20 pkt).</w:t>
              </w:r>
            </w:p>
            <w:p w14:paraId="157D193C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Propozycje zawarte w protokole z prac Komisji Konkursowej po zatwierdzeniu przez Prezydenta Miasta Piotrkowa Trybunalskiego są wiążące.</w:t>
              </w:r>
            </w:p>
            <w:p w14:paraId="7B3DC585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Złożenie oferty nie jest równoznaczne z przyznaniem dotacji. Szczegółowe i ostateczne warunki realizacji, finansowania i rozliczenia zadania regulować będzie umowa pomiędzy Miastem Piotrków Trybunalski a oferentem wybranym w wyniku konkursu ofert.</w:t>
              </w:r>
            </w:p>
            <w:p w14:paraId="3230C4EE" w14:textId="660341D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Po rozpatrzeniu ofert przez Komisję Konkursową, Prezydent Miasta Piotrkowa Trybunalskiego dokona wyboru ofert na realizację zadania w terminie 4 dni.</w:t>
              </w:r>
            </w:p>
            <w:p w14:paraId="13FFA8F1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Odrzuceniu podlegają oferty:</w:t>
              </w:r>
            </w:p>
            <w:p w14:paraId="5200EE28" w14:textId="77777777" w:rsidR="00463B70" w:rsidRPr="00710C8F" w:rsidRDefault="00463B70" w:rsidP="00710C8F">
              <w:pPr>
                <w:widowControl w:val="0"/>
                <w:numPr>
                  <w:ilvl w:val="0"/>
                  <w:numId w:val="6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jeżeli oferentem jest podmiot, który nie rozliczył się z poprzednio uzyskanego dofinansowania, a upłynął już określony termin rozliczenia,</w:t>
              </w:r>
            </w:p>
            <w:p w14:paraId="08BD4EC0" w14:textId="77777777" w:rsidR="00463B70" w:rsidRPr="00710C8F" w:rsidRDefault="00463B70" w:rsidP="00710C8F">
              <w:pPr>
                <w:widowControl w:val="0"/>
                <w:numPr>
                  <w:ilvl w:val="0"/>
                  <w:numId w:val="6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złożone na niewłaściwych formularzach, sporządzone wadliwie, nieczytelnie, niekompletne bądź złożone po terminie,</w:t>
              </w:r>
            </w:p>
            <w:p w14:paraId="6182C389" w14:textId="77777777" w:rsidR="00463B70" w:rsidRPr="00710C8F" w:rsidRDefault="00463B70" w:rsidP="00710C8F">
              <w:pPr>
                <w:widowControl w:val="0"/>
                <w:numPr>
                  <w:ilvl w:val="0"/>
                  <w:numId w:val="6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nieodpowiadające zadaniu wskazanemu w ogłoszeniu konkursowym,</w:t>
              </w:r>
            </w:p>
            <w:p w14:paraId="709449EA" w14:textId="77777777" w:rsidR="00463B70" w:rsidRPr="00710C8F" w:rsidRDefault="00463B70" w:rsidP="00710C8F">
              <w:pPr>
                <w:widowControl w:val="0"/>
                <w:numPr>
                  <w:ilvl w:val="0"/>
                  <w:numId w:val="6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dotyczące zadania, które nie jest objęte celami statutowymi podmiotu, składającego ofertę,</w:t>
              </w:r>
            </w:p>
            <w:p w14:paraId="03E48C79" w14:textId="77777777" w:rsidR="00463B70" w:rsidRPr="00710C8F" w:rsidRDefault="00463B70" w:rsidP="00710C8F">
              <w:pPr>
                <w:widowControl w:val="0"/>
                <w:numPr>
                  <w:ilvl w:val="0"/>
                  <w:numId w:val="6"/>
                </w:numPr>
                <w:suppressAutoHyphens/>
                <w:spacing w:after="0" w:line="360" w:lineRule="auto"/>
                <w:contextualSpacing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10C8F">
                <w:rPr>
                  <w:rFonts w:ascii="Arial" w:eastAsia="Calibri" w:hAnsi="Arial" w:cs="Arial"/>
                  <w:sz w:val="24"/>
                  <w:szCs w:val="24"/>
                </w:rPr>
                <w:t>złożone przez podmiot nieuprawniony do wzięcia udziału w konkursie.</w:t>
              </w:r>
            </w:p>
            <w:p w14:paraId="5DC19D04" w14:textId="2601CECA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Wsparcie zostanie udzielone na zasadach określonych w ustawie z dnia 24 kwietnia 2003 r.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br/>
                <w:t xml:space="preserve">o działalności pożytku publicznego i o wolontariacie. </w:t>
              </w:r>
            </w:p>
            <w:p w14:paraId="211C4259" w14:textId="2E66F4A0" w:rsidR="00463B70" w:rsidRPr="00710C8F" w:rsidRDefault="00463B70" w:rsidP="00710C8F">
              <w:pPr>
                <w:widowControl w:val="0"/>
                <w:tabs>
                  <w:tab w:val="left" w:pos="7088"/>
                </w:tabs>
                <w:suppressAutoHyphens/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VI. Zrealizowane przez Miasto Piotrków Trybunalski w roku ogłoszenia otwartego konkursu ofert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br/>
                <w:t>i w roku poprzednim zadania publicznego tego samego rodzaju i związane z nimi koszty ze szczególnym uwzględnieniem wysokości dotacji przekazanych organizacjom pozarządowym.</w:t>
              </w:r>
            </w:p>
            <w:p w14:paraId="542A19FC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W latach 2018, 2019, 2020 i 2021 wymienione w ogłoszeniu zadanie </w:t>
              </w: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lastRenderedPageBreak/>
                <w:t>realizowane było przez organizacje pozarządowe przy wsparciu z budżetu miasta w następujących kwotach:</w:t>
              </w:r>
            </w:p>
            <w:p w14:paraId="6E33C797" w14:textId="77777777" w:rsidR="00463B70" w:rsidRPr="00710C8F" w:rsidRDefault="00463B70" w:rsidP="00710C8F">
              <w:pPr>
                <w:widowControl w:val="0"/>
                <w:suppressAutoHyphens/>
                <w:spacing w:after="0" w:line="360" w:lineRule="auto"/>
                <w:ind w:firstLine="360"/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</w:pPr>
              <w:r w:rsidRPr="00710C8F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  </w:t>
              </w:r>
            </w:p>
            <w:tbl>
              <w:tblPr>
                <w:tblStyle w:val="Tabela-Siatka1"/>
                <w:tblW w:w="7731" w:type="dxa"/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Look w:val="04A0" w:firstRow="1" w:lastRow="0" w:firstColumn="1" w:lastColumn="0" w:noHBand="0" w:noVBand="1"/>
              </w:tblPr>
              <w:tblGrid>
                <w:gridCol w:w="1314"/>
                <w:gridCol w:w="1137"/>
                <w:gridCol w:w="3740"/>
                <w:gridCol w:w="1010"/>
                <w:gridCol w:w="265"/>
                <w:gridCol w:w="265"/>
              </w:tblGrid>
              <w:tr w:rsidR="00463B70" w:rsidRPr="00710C8F" w14:paraId="277A886A" w14:textId="77777777" w:rsidTr="00A62872">
                <w:trPr>
                  <w:trHeight w:val="461"/>
                </w:trPr>
                <w:tc>
                  <w:tcPr>
                    <w:tcW w:w="0" w:type="auto"/>
                  </w:tcPr>
                  <w:p w14:paraId="537CCD09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</w:tcPr>
                  <w:p w14:paraId="75D2C2BC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>rok 2018</w:t>
                    </w:r>
                  </w:p>
                </w:tc>
                <w:tc>
                  <w:tcPr>
                    <w:tcW w:w="0" w:type="auto"/>
                  </w:tcPr>
                  <w:p w14:paraId="318598CA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rok 2019                 rok 2020        </w:t>
                    </w:r>
                  </w:p>
                </w:tc>
                <w:tc>
                  <w:tcPr>
                    <w:tcW w:w="1010" w:type="dxa"/>
                  </w:tcPr>
                  <w:p w14:paraId="6D4345D6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ind w:right="-415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rok 2021        </w:t>
                    </w:r>
                  </w:p>
                </w:tc>
                <w:tc>
                  <w:tcPr>
                    <w:tcW w:w="265" w:type="dxa"/>
                  </w:tcPr>
                  <w:p w14:paraId="48DB1562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" w:type="dxa"/>
                  </w:tcPr>
                  <w:p w14:paraId="17D02726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  <w:tr w:rsidR="00463B70" w:rsidRPr="00710C8F" w14:paraId="4C164E63" w14:textId="77777777" w:rsidTr="00A62872">
                <w:trPr>
                  <w:trHeight w:val="461"/>
                </w:trPr>
                <w:tc>
                  <w:tcPr>
                    <w:tcW w:w="0" w:type="auto"/>
                  </w:tcPr>
                  <w:p w14:paraId="22D01969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10C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Zadanie </w:t>
                    </w:r>
                  </w:p>
                </w:tc>
                <w:tc>
                  <w:tcPr>
                    <w:tcW w:w="0" w:type="auto"/>
                  </w:tcPr>
                  <w:p w14:paraId="246B8EE3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>190.000</w:t>
                    </w:r>
                  </w:p>
                </w:tc>
                <w:tc>
                  <w:tcPr>
                    <w:tcW w:w="0" w:type="auto"/>
                  </w:tcPr>
                  <w:p w14:paraId="4D5567B7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218.000                    0.000</w:t>
                    </w:r>
                  </w:p>
                </w:tc>
                <w:tc>
                  <w:tcPr>
                    <w:tcW w:w="1010" w:type="dxa"/>
                  </w:tcPr>
                  <w:p w14:paraId="6078BBBC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0C8F">
                      <w:rPr>
                        <w:rFonts w:ascii="Arial" w:hAnsi="Arial" w:cs="Arial"/>
                        <w:sz w:val="20"/>
                        <w:szCs w:val="20"/>
                      </w:rPr>
                      <w:t>188.400</w:t>
                    </w:r>
                  </w:p>
                </w:tc>
                <w:tc>
                  <w:tcPr>
                    <w:tcW w:w="265" w:type="dxa"/>
                  </w:tcPr>
                  <w:p w14:paraId="12C6F67D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" w:type="dxa"/>
                  </w:tcPr>
                  <w:p w14:paraId="75EACF0E" w14:textId="77777777" w:rsidR="00463B70" w:rsidRPr="00710C8F" w:rsidRDefault="00463B70" w:rsidP="00710C8F">
                    <w:pPr>
                      <w:widowControl w:val="0"/>
                      <w:suppressAutoHyphens/>
                      <w:spacing w:after="200"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tbl>
            <w:p w14:paraId="0ECA0103" w14:textId="77777777" w:rsidR="00463B70" w:rsidRDefault="0000731E" w:rsidP="00710C8F">
              <w:pPr>
                <w:spacing w:line="360" w:lineRule="auto"/>
              </w:pPr>
            </w:p>
          </w:sdtContent>
        </w:sdt>
        <w:p w14:paraId="77F978EB" w14:textId="77777777" w:rsidR="00710C8F" w:rsidRDefault="0000731E" w:rsidP="00710C8F">
          <w:pPr>
            <w:pStyle w:val="NormalnyWeb"/>
            <w:shd w:val="clear" w:color="auto" w:fill="FFFFFF"/>
            <w:spacing w:after="150"/>
            <w:jc w:val="right"/>
            <w:rPr>
              <w:sz w:val="28"/>
              <w:szCs w:val="28"/>
            </w:rPr>
          </w:pPr>
        </w:p>
        <w:permEnd w:id="839546535" w:displacedByCustomXml="next"/>
      </w:sdtContent>
    </w:sdt>
    <w:p w14:paraId="2D8D5B7F" w14:textId="26A3E0F2" w:rsidR="00710C8F" w:rsidRPr="00710C8F" w:rsidRDefault="00710C8F" w:rsidP="00710C8F">
      <w:pPr>
        <w:pStyle w:val="NormalnyWeb"/>
        <w:shd w:val="clear" w:color="auto" w:fill="FFFFFF"/>
        <w:spacing w:after="150"/>
        <w:jc w:val="right"/>
        <w:rPr>
          <w:rFonts w:ascii="Arial" w:eastAsia="Times New Roman" w:hAnsi="Arial" w:cs="Arial"/>
          <w:lang w:eastAsia="pl-PL"/>
        </w:rPr>
      </w:pPr>
      <w:r w:rsidRPr="00710C8F">
        <w:rPr>
          <w:rFonts w:ascii="Arial" w:eastAsia="Times New Roman" w:hAnsi="Arial" w:cs="Arial"/>
          <w:lang w:eastAsia="pl-PL"/>
        </w:rPr>
        <w:t xml:space="preserve"> Podpisał:</w:t>
      </w:r>
    </w:p>
    <w:p w14:paraId="22FBD81A" w14:textId="77777777" w:rsidR="00710C8F" w:rsidRPr="00710C8F" w:rsidRDefault="00710C8F" w:rsidP="00710C8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710C8F">
        <w:rPr>
          <w:rFonts w:ascii="Arial" w:eastAsia="Times New Roman" w:hAnsi="Arial" w:cs="Arial"/>
          <w:lang w:eastAsia="pl-PL"/>
        </w:rPr>
        <w:t>Prezydent Miasta Piotrkowa Trybunalskiego</w:t>
      </w:r>
    </w:p>
    <w:p w14:paraId="329E236E" w14:textId="77777777" w:rsidR="00710C8F" w:rsidRPr="00710C8F" w:rsidRDefault="00710C8F" w:rsidP="00710C8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710C8F">
        <w:rPr>
          <w:rFonts w:ascii="Arial" w:eastAsia="Times New Roman" w:hAnsi="Arial" w:cs="Arial"/>
          <w:lang w:eastAsia="pl-PL"/>
        </w:rPr>
        <w:t>Krzysztof Chojniak</w:t>
      </w:r>
    </w:p>
    <w:p w14:paraId="77C1FF76" w14:textId="77777777" w:rsidR="00710C8F" w:rsidRPr="00710C8F" w:rsidRDefault="00710C8F" w:rsidP="00710C8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710C8F">
        <w:rPr>
          <w:rFonts w:ascii="Arial" w:eastAsia="Times New Roman" w:hAnsi="Arial" w:cs="Arial"/>
          <w:lang w:eastAsia="pl-PL"/>
        </w:rPr>
        <w:t>Dokument został podpisany</w:t>
      </w:r>
    </w:p>
    <w:p w14:paraId="68723D2A" w14:textId="77777777" w:rsidR="00710C8F" w:rsidRPr="00710C8F" w:rsidRDefault="00710C8F" w:rsidP="00710C8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710C8F">
        <w:rPr>
          <w:rFonts w:ascii="Arial" w:eastAsia="Times New Roman" w:hAnsi="Arial" w:cs="Arial"/>
          <w:lang w:eastAsia="pl-PL"/>
        </w:rPr>
        <w:t>kwalifikowanym podpisem elektronicznym</w:t>
      </w:r>
    </w:p>
    <w:p w14:paraId="6A310CCB" w14:textId="0BB723E6" w:rsidR="00F22A10" w:rsidRDefault="00F22A10">
      <w:pPr>
        <w:rPr>
          <w:sz w:val="28"/>
          <w:szCs w:val="28"/>
        </w:rPr>
      </w:pPr>
    </w:p>
    <w:sectPr w:rsidR="00F22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397B" w14:textId="77777777" w:rsidR="00B45B57" w:rsidRDefault="00B45B57" w:rsidP="00F22A10">
      <w:pPr>
        <w:spacing w:after="0" w:line="240" w:lineRule="auto"/>
      </w:pPr>
      <w:r>
        <w:separator/>
      </w:r>
    </w:p>
  </w:endnote>
  <w:endnote w:type="continuationSeparator" w:id="0">
    <w:p w14:paraId="68137846" w14:textId="77777777" w:rsidR="00B45B57" w:rsidRDefault="00B45B57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07BD" w14:textId="77777777" w:rsidR="00B45B57" w:rsidRDefault="00B45B57" w:rsidP="00F22A10">
      <w:pPr>
        <w:spacing w:after="0" w:line="240" w:lineRule="auto"/>
      </w:pPr>
      <w:r>
        <w:separator/>
      </w:r>
    </w:p>
  </w:footnote>
  <w:footnote w:type="continuationSeparator" w:id="0">
    <w:p w14:paraId="133CFEFC" w14:textId="77777777" w:rsidR="00B45B57" w:rsidRDefault="00B45B57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584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E7A"/>
    <w:multiLevelType w:val="hybridMultilevel"/>
    <w:tmpl w:val="AABA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634"/>
    <w:multiLevelType w:val="hybridMultilevel"/>
    <w:tmpl w:val="0CD4755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5BF4F38"/>
    <w:multiLevelType w:val="hybridMultilevel"/>
    <w:tmpl w:val="A3940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0932"/>
    <w:multiLevelType w:val="hybridMultilevel"/>
    <w:tmpl w:val="0C243F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8658B"/>
    <w:multiLevelType w:val="hybridMultilevel"/>
    <w:tmpl w:val="CEF64490"/>
    <w:lvl w:ilvl="0" w:tplc="D65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6D6"/>
    <w:multiLevelType w:val="hybridMultilevel"/>
    <w:tmpl w:val="EE7A5E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73A44"/>
    <w:multiLevelType w:val="hybridMultilevel"/>
    <w:tmpl w:val="869E0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A"/>
    <w:rsid w:val="0000731E"/>
    <w:rsid w:val="000503D4"/>
    <w:rsid w:val="000D5A64"/>
    <w:rsid w:val="001229A8"/>
    <w:rsid w:val="00144995"/>
    <w:rsid w:val="00173512"/>
    <w:rsid w:val="00212A55"/>
    <w:rsid w:val="00235870"/>
    <w:rsid w:val="002409A3"/>
    <w:rsid w:val="00331E82"/>
    <w:rsid w:val="00372D4A"/>
    <w:rsid w:val="003D3A2D"/>
    <w:rsid w:val="00400DF9"/>
    <w:rsid w:val="00463B70"/>
    <w:rsid w:val="005014BA"/>
    <w:rsid w:val="005111CC"/>
    <w:rsid w:val="00560E4E"/>
    <w:rsid w:val="005D6587"/>
    <w:rsid w:val="006144DC"/>
    <w:rsid w:val="0065513C"/>
    <w:rsid w:val="006C5055"/>
    <w:rsid w:val="006D30FF"/>
    <w:rsid w:val="00710C8F"/>
    <w:rsid w:val="00964E1A"/>
    <w:rsid w:val="009E3771"/>
    <w:rsid w:val="00A412B1"/>
    <w:rsid w:val="00A53793"/>
    <w:rsid w:val="00A61942"/>
    <w:rsid w:val="00A65A4B"/>
    <w:rsid w:val="00A71B6B"/>
    <w:rsid w:val="00A86831"/>
    <w:rsid w:val="00AC6DEC"/>
    <w:rsid w:val="00B15455"/>
    <w:rsid w:val="00B45B57"/>
    <w:rsid w:val="00B769E4"/>
    <w:rsid w:val="00BA13CD"/>
    <w:rsid w:val="00C07D74"/>
    <w:rsid w:val="00CB3A5D"/>
    <w:rsid w:val="00CE0ED0"/>
    <w:rsid w:val="00CE6009"/>
    <w:rsid w:val="00D22FDB"/>
    <w:rsid w:val="00D236A7"/>
    <w:rsid w:val="00D5303E"/>
    <w:rsid w:val="00DB22E2"/>
    <w:rsid w:val="00E910DE"/>
    <w:rsid w:val="00E950AF"/>
    <w:rsid w:val="00F22A10"/>
    <w:rsid w:val="00F33A42"/>
    <w:rsid w:val="00FE747B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customStyle="1" w:styleId="Tabela-Siatka1">
    <w:name w:val="Tabela - Siatka1"/>
    <w:basedOn w:val="Standardowy"/>
    <w:next w:val="Tabela-Siatka"/>
    <w:uiPriority w:val="59"/>
    <w:rsid w:val="00463B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0C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8F3C302D5FA04D90A4373BBA4B6A6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E5549-AE65-45FF-BBBA-7A0BC25D3117}"/>
      </w:docPartPr>
      <w:docPartBody>
        <w:p w:rsidR="0077720C" w:rsidRDefault="00661002" w:rsidP="00661002">
          <w:pPr>
            <w:pStyle w:val="8F3C302D5FA04D90A4373BBA4B6A6C93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287FFB"/>
    <w:rsid w:val="00611988"/>
    <w:rsid w:val="00661002"/>
    <w:rsid w:val="006C177D"/>
    <w:rsid w:val="0077720C"/>
    <w:rsid w:val="007805AF"/>
    <w:rsid w:val="00F90AAA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002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  <w:style w:type="paragraph" w:customStyle="1" w:styleId="8F3C302D5FA04D90A4373BBA4B6A6C93">
    <w:name w:val="8F3C302D5FA04D90A4373BBA4B6A6C93"/>
    <w:rsid w:val="00661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C42D-967F-4011-B8E6-943D618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2021-09-29T12:54:00Z</cp:lastPrinted>
  <dcterms:created xsi:type="dcterms:W3CDTF">2022-06-02T08:46:00Z</dcterms:created>
  <dcterms:modified xsi:type="dcterms:W3CDTF">2022-06-02T08:46:00Z</dcterms:modified>
</cp:coreProperties>
</file>