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B15056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1C627F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bookmarkStart w:id="0" w:name="_GoBack"/>
            <w:bookmarkEnd w:id="0"/>
            <w:r>
              <w:rPr>
                <w:b/>
                <w:i/>
                <w:sz w:val="20"/>
                <w:u w:val="thick"/>
              </w:rPr>
              <w:t>Projekt</w:t>
            </w:r>
          </w:p>
          <w:p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:rsidR="00A77B3E" w:rsidRDefault="001C627F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24 marca 2022 r.</w:t>
            </w:r>
          </w:p>
          <w:p w:rsidR="00A77B3E" w:rsidRDefault="001C627F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:rsidR="00A77B3E" w:rsidRDefault="00A77B3E">
            <w:pPr>
              <w:ind w:left="5669"/>
              <w:jc w:val="left"/>
              <w:rPr>
                <w:sz w:val="20"/>
              </w:rPr>
            </w:pPr>
          </w:p>
          <w:p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:rsidR="00A77B3E" w:rsidRDefault="00A77B3E"/>
    <w:p w:rsidR="00A77B3E" w:rsidRDefault="001C627F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:rsidR="00A77B3E" w:rsidRDefault="001C627F">
      <w:pPr>
        <w:spacing w:before="280" w:after="280"/>
        <w:jc w:val="center"/>
        <w:rPr>
          <w:b/>
          <w:caps/>
        </w:rPr>
      </w:pPr>
      <w:r>
        <w:t>z dnia .................... 2022 r.</w:t>
      </w:r>
    </w:p>
    <w:p w:rsidR="00A77B3E" w:rsidRDefault="001C627F">
      <w:pPr>
        <w:keepNext/>
        <w:spacing w:after="480"/>
        <w:jc w:val="center"/>
      </w:pPr>
      <w:r>
        <w:rPr>
          <w:b/>
        </w:rPr>
        <w:t xml:space="preserve">w sprawie miejscowego planu zagospodarowania przestrzennego </w:t>
      </w:r>
      <w:r>
        <w:rPr>
          <w:b/>
        </w:rPr>
        <w:t>w rejonie ulic: Słowackiego, Armii Krajowej, Szkolnej i Owocowej w Piotrkowie Trybunalskim</w:t>
      </w:r>
    </w:p>
    <w:p w:rsidR="00A77B3E" w:rsidRDefault="001C627F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(t.j. Dz. U. z 2022 r. poz. 503), uchwala się co n</w:t>
      </w:r>
      <w:r>
        <w:t>astępuje:</w:t>
      </w:r>
    </w:p>
    <w:p w:rsidR="00A77B3E" w:rsidRDefault="001C627F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 xml:space="preserve">Stwierdza się, że miejscowy plan zagospodarowania przestrzennego w rejonie ulic: Słowackiego, Armii Krajowej, Szkolnej i Owocowej w Piotrkowie Trybunalskim, nie narusza ustaleń obowiązującego „Studium </w:t>
      </w:r>
      <w:r>
        <w:t>uwarunkowań i kierunków zagospodarowania przestrzennego miasta Piotrkowa Trybunalskiego” przyjętego Uchwałą Nr XLIX/837/06 Rady Miasta Piotrkowa Trybunalskiego z dnia 29 marca 2006 roku z późniejszymi zmianami przyjętymi Uchwałą Nr XIV/297/11 Rady Miasta P</w:t>
      </w:r>
      <w:r>
        <w:t>iotrkowa Trybunalskiego z dnia 30 listopada 2011 roku, Uchwałą Nr XXVII/359/16 z dnia 26 października 2016 roku i Uchwałą Nr XLVII/566/17 z dnia 25 października 2017 roku.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Uchwala się miejscowy plan zagospodarowania przestrzennego w rejonie ulic: </w:t>
      </w:r>
      <w:r>
        <w:rPr>
          <w:color w:val="000000"/>
          <w:u w:color="000000"/>
        </w:rPr>
        <w:t>Słowackiego, Armii Krajowej, Szkolnej i Owocowej w Piotrkowie Trybunalskim w granicach określonych w Uchwale Nr XXXIV/471/21 Rady Miasta Piotrkowa Trybunalskiego z dnia 31 marca 2021 roku w sprawie przystąpienia do sporządzenia miejscowego planu zagospodar</w:t>
      </w:r>
      <w:r>
        <w:rPr>
          <w:color w:val="000000"/>
          <w:u w:color="000000"/>
        </w:rPr>
        <w:t>owania przestrzennego w rejonie ulic: Słowackiego, Armii Krajowej, Szkolnej i Owocowej w Piotrkowie Trybunalskim.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</w:t>
      </w:r>
      <w:r>
        <w:rPr>
          <w:color w:val="000000"/>
          <w:u w:color="000000"/>
        </w:rPr>
        <w:t> 1 do niniejszej uchwały;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niniejszej uchwały;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</w:t>
      </w:r>
      <w:r>
        <w:rPr>
          <w:color w:val="000000"/>
          <w:u w:color="000000"/>
        </w:rPr>
        <w:t>astruktury technicznej, które należą do zadań własnych gminy oraz zasad ich finansowania, zgodnie z przepisami ustawy o finansach publicznych, stanowiące załącznik nr 3 do niniejszej uchwały;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 4 do niniejszej uc</w:t>
      </w:r>
      <w:r>
        <w:rPr>
          <w:color w:val="000000"/>
          <w:u w:color="000000"/>
        </w:rPr>
        <w:t>hwały.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zabudowy wielofunkcyjnej śródmiejskiej – oznaczony na rysunku planu symbolem MŚ;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zabudowy usługowej – oznaczony na rysunku planu symbolem 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teren komunikacji samochodowej – parkingi – oznaczony </w:t>
      </w:r>
      <w:r>
        <w:rPr>
          <w:color w:val="000000"/>
          <w:u w:color="000000"/>
        </w:rPr>
        <w:t>na rysunku planu symbolem KP;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infrastruktury technicznej – elektroenergetyka, oznaczony na rysunku planu symbolem E;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dróg publicznych – droga dojazdowa, oznaczony na rysunku planu symbolem KDD.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Rysunek planu zawiera oznaczenia obowiązu</w:t>
      </w:r>
      <w:r>
        <w:rPr>
          <w:color w:val="000000"/>
          <w:u w:color="000000"/>
        </w:rPr>
        <w:t>jące i informacyjne, zgodnie z legendą oznaczeń zamieszczoną na rysunku planu.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7. </w:t>
      </w:r>
      <w:r>
        <w:rPr>
          <w:color w:val="000000"/>
          <w:u w:color="000000"/>
        </w:rPr>
        <w:t>Położenie linii rozgraniczających i linii zabudowy w miejscach, które nie zostały zwymiarowane na rysunku planu należy ustalać poprzez odczyt rysunku planu w oparciu o jego s</w:t>
      </w:r>
      <w:r>
        <w:rPr>
          <w:color w:val="000000"/>
          <w:u w:color="000000"/>
        </w:rPr>
        <w:t>kalę.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linie rozgraniczające tereny o różnym przeznaczeniu lub różnych zasadach </w:t>
      </w:r>
      <w:r>
        <w:rPr>
          <w:color w:val="000000"/>
          <w:u w:color="000000"/>
        </w:rPr>
        <w:t>zagospodarowania;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obowiązująca linia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miejsce zmiany rodzaju linii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 zabudowy wielofunkcyjnej śródmiejskiej;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zabudowy usługowej;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 komunikacji samochodowej – parkingi;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infrastruktury technicznej – elektroenergetyka;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teren dróg publicznych – droga dojazdowa;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budynek wpisany do gminnej ewidencji zabytków;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strefa ochrony konserwatorskiej „B”;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strefa ochrony ekspozycji „E”.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Pozostałe oznaczenia </w:t>
      </w:r>
      <w:r>
        <w:rPr>
          <w:color w:val="000000"/>
          <w:u w:color="000000"/>
        </w:rPr>
        <w:t>graficzne na rysunku planu nie wymienione w ust. 1 są oznaczeniami informacyjnymi.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linii rozgraniczającej tereny o różnym przeznaczeniu lub różnych zasadach zagospodarowania – należy przez to roz</w:t>
      </w:r>
      <w:r>
        <w:rPr>
          <w:color w:val="000000"/>
          <w:u w:color="000000"/>
        </w:rPr>
        <w:t>umieć oznaczoną na rysunku planu linię ciągłą, dzielącą obszar na części o różnym przeznaczeniu lub różnych zasadach zagospodarowania;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obowiązującej linii zabudowy – należy przez to rozumieć oznaczoną na rysunku planu linię sytuowania ściany frontowej b</w:t>
      </w:r>
      <w:r>
        <w:rPr>
          <w:color w:val="000000"/>
          <w:u w:color="000000"/>
        </w:rPr>
        <w:t>udynków (min. 70% długości elewacji frontowej):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dopuszcza się wycofanie elewacji frontowej w płaszczyźnie pionowej budynku od wysokości 7,0 m n.p.t.,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przekroczenie tej linii o elementy architektoniczne budynku takiej jak: balkon, schody</w:t>
      </w:r>
      <w:r>
        <w:rPr>
          <w:color w:val="000000"/>
          <w:u w:color="000000"/>
        </w:rPr>
        <w:t>, gzyms, okap dachu, rynna itp. oraz innych elementów architektonicznych na trwale związanych z  konstrukcją i  funkcją budynku, na odległość do 1,0 m;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nieprzekraczalnej linii zabudowy – należy przez to rozumieć oznaczoną na rysunku planu graniczną lini</w:t>
      </w:r>
      <w:r>
        <w:rPr>
          <w:color w:val="000000"/>
          <w:u w:color="000000"/>
        </w:rPr>
        <w:t xml:space="preserve">ę sytuowania nadziemnych kondygnacji budynków; dopuszcza się przekroczenie tej linii o elementy architektoniczne budynku takiej jak: balkon, schody, gzyms, okap dachu, rynna itp. oraz innych elementów architektonicznych na trwale związanych z  konstrukcją </w:t>
      </w:r>
      <w:r>
        <w:rPr>
          <w:color w:val="000000"/>
          <w:u w:color="000000"/>
        </w:rPr>
        <w:t>i  funkcją budynku, na odległość do 1,0 m;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obszarze planu – należy przez to rozumieć obszar objęty planem w granicach przedstawionych na rysunku planu;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powierzchni zabudowy – należy przez to rozumieć powierzchnię działki budowlanej zajętą przez rzuty</w:t>
      </w:r>
      <w:r>
        <w:rPr>
          <w:color w:val="000000"/>
          <w:u w:color="000000"/>
        </w:rPr>
        <w:t xml:space="preserve"> poziome wszystkich budynków w ich obrysach zewnętrznych, przy czym do powierzchni zabudowy nie wlicza się powierzchni elementów takich jak: schody i pochylnie zewnętrzne, tarasy naziemne, rampy zewnętrzne, daszki, okapy dachowe, występy dachowe, podziemne</w:t>
      </w:r>
      <w:r>
        <w:rPr>
          <w:color w:val="000000"/>
          <w:u w:color="000000"/>
        </w:rPr>
        <w:t xml:space="preserve"> części budynków, studzienki piwniczne, powierzchnie pod daszkami ochronnymi;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rysunku planu – należy przez to rozumieć opracowanie graficzne sporządzone na urzędowej kopii mapy zasadniczej, pochodzącej z państwowego zasobu geodezyjnego i kartograficzneg</w:t>
      </w:r>
      <w:r>
        <w:rPr>
          <w:color w:val="000000"/>
          <w:u w:color="000000"/>
        </w:rPr>
        <w:t>o w skali 1:1000;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terenie – należy przez to rozumieć teren wyznaczony na rysunku planu liniami rozgraniczającymi tereny o różnym przeznaczeniu lub różnych zasadach zagospodarowania oraz oznaczony symbolami cyfrowymi i literowymi, z których cyfry oznacza</w:t>
      </w:r>
      <w:r>
        <w:rPr>
          <w:color w:val="000000"/>
          <w:u w:color="000000"/>
        </w:rPr>
        <w:t>ją kolejny numer terenu, a litery jego przeznaczenie;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8) </w:t>
      </w:r>
      <w:r>
        <w:rPr>
          <w:color w:val="000000"/>
          <w:u w:color="000000"/>
        </w:rPr>
        <w:t>wskaźniku intensywności zabudowy – należy przez to rozumieć stosunek sumy powierzchni całkowitych (wszystkich kondygnacji nadziemnych) wszystkich budynków położonych na działce budowalnej do powierzc</w:t>
      </w:r>
      <w:r>
        <w:rPr>
          <w:color w:val="000000"/>
          <w:u w:color="000000"/>
        </w:rPr>
        <w:t>hni działki budowlanej;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wysokości zabudowy – należy przez to rozumieć ustalony w planie nieprzekraczalny maksymalny pionowy wymiar obiektu budowlanego, liczony w metrach, od najniższego  poziomu terenu, na którym posadowiony jest obiekt budowlany do naj</w:t>
      </w:r>
      <w:r>
        <w:rPr>
          <w:color w:val="000000"/>
          <w:u w:color="000000"/>
        </w:rPr>
        <w:t>wyższego jego punktu;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elewacji frontowej – należy przez to rozumieć elewacje usytuowane w obowiązującej linii zabudowy lub zgodnie z nieprzekraczalnymi liniami zabudowy od strony dróg publicznych;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zabudowie wielofunkcyjnej śródmiejskiej – należy pr</w:t>
      </w:r>
      <w:r>
        <w:rPr>
          <w:color w:val="000000"/>
          <w:u w:color="000000"/>
        </w:rPr>
        <w:t>zez to rozumieć zabudowę mieszkaniową wielorodzinną lub usługową, z możliwością łączenia tych funkcji.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obszaru, o którym mowa w §1, plan ustala: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 różnych zasadach</w:t>
      </w:r>
      <w:r>
        <w:rPr>
          <w:color w:val="000000"/>
          <w:u w:color="000000"/>
        </w:rPr>
        <w:t xml:space="preserve"> zagospodarowania;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 i przyrody;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ochrony dziedzictwa kulturowego i zabytków oraz dóbr kultury współczesnej;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wymagania wynikające z potrzeb kształtowania </w:t>
      </w:r>
      <w:r>
        <w:rPr>
          <w:color w:val="000000"/>
          <w:u w:color="000000"/>
        </w:rPr>
        <w:t>przestrzeni publicznych;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minimalny </w:t>
      </w:r>
      <w:r>
        <w:rPr>
          <w:color w:val="000000"/>
          <w:u w:color="000000"/>
        </w:rPr>
        <w:t>udział procentowy powierzchni biologicznie czynnej w odniesieniu do powierzchni działki budowlanej,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(mp), w tym miejsca przeznaczone na parkowanie pojazdów zaopatrzonych w kartę park</w:t>
      </w:r>
      <w:r>
        <w:rPr>
          <w:color w:val="000000"/>
          <w:u w:color="000000"/>
        </w:rPr>
        <w:t>ingową i sposób ich realizacji,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minimalną powierzchnię nowo wydzielonych działek budowlanych;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szczególne warunki zago</w:t>
      </w:r>
      <w:r>
        <w:rPr>
          <w:color w:val="000000"/>
          <w:u w:color="000000"/>
        </w:rPr>
        <w:t>spodarowania terenów oraz ograniczenia w ich użytkowaniu, w tym zakaz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zasady modernizacji, przebudowy, rozbudowy i budowy systemu komunikacji i infrastruktury technicznej;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sposoby i terminy tymczasowego zagospodarowania, urządzania i użyt</w:t>
      </w:r>
      <w:r>
        <w:rPr>
          <w:color w:val="000000"/>
          <w:u w:color="000000"/>
        </w:rPr>
        <w:t>kowania terenów;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:rsidR="00A77B3E" w:rsidRDefault="001C627F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Zasady ochrony i kształtowania ładu przestrzenneg</w:t>
      </w:r>
      <w:r>
        <w:rPr>
          <w:color w:val="000000"/>
          <w:u w:color="000000"/>
        </w:rPr>
        <w:t>o: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przy rozbudowie, nadbudowie, przebudowie i zmianie sposobu użytkowania obiektów budowalnych, obowiązują ustalenia szczegółowe dla poszczególnych terenów;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umieszczania na elewacjach frontowych budynków elementów wyposażenia technicznego takic</w:t>
      </w:r>
      <w:r>
        <w:rPr>
          <w:color w:val="000000"/>
          <w:u w:color="000000"/>
        </w:rPr>
        <w:t>h jak: klimatyzatory, anteny itp.;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dopuszcza się przekroczenie linii rozgraniczającej z terenem przestrzeni publicznej o 1,2 m wyłącznie takimi elementami budynku jak: balkon, wykusz, gzyms, attyka, rynna, rura spustowa, podokienniki oraz innymi </w:t>
      </w:r>
      <w:r>
        <w:rPr>
          <w:color w:val="000000"/>
          <w:u w:color="000000"/>
        </w:rPr>
        <w:t>elementami architektonicznymi na trwale związanych z konstrukcją i funkcją budynku;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4)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obowiązują bezwzględne ogr</w:t>
      </w:r>
      <w:r>
        <w:rPr>
          <w:color w:val="000000"/>
          <w:u w:color="000000"/>
        </w:rPr>
        <w:t>aniczenia wysokości obiektów budowlanych i naturalnych, zgodnie z przepisami odrębnymi – ograniczenia wysokości obejmują również wszystkie urządzenia umieszczone na obiektach budowlanych oraz zabrania się budowy i rozbudowy obiektów budowlanych, które mogą</w:t>
      </w:r>
      <w:r>
        <w:rPr>
          <w:color w:val="000000"/>
          <w:u w:color="000000"/>
        </w:rPr>
        <w:t xml:space="preserve"> stanowić źródło żerowania ptaków;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dokonywanie podziałów działek niespełniających ustaleń szczegółowych na potrzeby: lokalizacji infrastruktury technicznej, regulacji stanu prawnego, wydzielenia działek na poprawę warunków zagospodarowania</w:t>
      </w:r>
      <w:r>
        <w:rPr>
          <w:color w:val="000000"/>
          <w:u w:color="000000"/>
        </w:rPr>
        <w:t xml:space="preserve"> nieruchomości sąsiednich.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środowiska, przyrody i krajobrazu: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realizacji przedsięwzięć mogących zawsze znacząco i potencjalnie znacząco oddziaływać na środowisko, z wyjątkiem inwestycji celu publicznego z zakresu telekomunikacji,</w:t>
      </w:r>
      <w:r>
        <w:rPr>
          <w:color w:val="000000"/>
          <w:u w:color="000000"/>
        </w:rPr>
        <w:t xml:space="preserve"> infrastruktury technicznej i drogowej;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zachowania poziomu hałasu w środowisku określony w obowiązujących przepisach o ochronie środowiska: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terenach oznaczonych symbolem MŚ – jak dla terenów zabudowy mieszkaniowej wielorodzinnej i zamiesz</w:t>
      </w:r>
      <w:r>
        <w:rPr>
          <w:color w:val="000000"/>
          <w:u w:color="000000"/>
        </w:rPr>
        <w:t>kania zbiorowego,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pozostałe tereny nie są normowane akustycznie.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dziedzictwa kulturowego i zabytków oraz dóbr kultury współczesnej: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ustala się ochronę obiektów wpisanych do gminnej ewidencji zabytków, poprzez stosowanie zapisów </w:t>
      </w:r>
      <w:r>
        <w:rPr>
          <w:color w:val="000000"/>
          <w:u w:color="000000"/>
        </w:rPr>
        <w:t>planu i z zachowaniem ustaleń zawartych w §5 ust. 3 pkt. 2;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fragmencie obszaru objętego niniejszym planem ustala się strefę ochrony konserwatorskiej „B” i strefę ochrony ekspozycji „E”, zgodnie z rysunkiem planu, w których: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ustala się realizację s</w:t>
      </w:r>
      <w:r>
        <w:rPr>
          <w:color w:val="000000"/>
          <w:u w:color="000000"/>
        </w:rPr>
        <w:t>krzynek przyłączy infrastruktury technicznej na elewacjach, pod warunkiem wbudowania ich w ścianę oraz wykonania części skrzynek widocznej z zewnątrz w barwie elewacji, w które są wbudowane;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zakazuje się stosowania: parapetów, rynien i rur spustowych z </w:t>
      </w:r>
      <w:r>
        <w:rPr>
          <w:color w:val="000000"/>
          <w:u w:color="000000"/>
        </w:rPr>
        <w:t>PCV;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 terenach 1MŚ i 2MŚ ustala się obowiązek zaakcentowania podziałów geodezyjnych terenu, w kompozycji elewacji frontowych budynków lokalizowanych w obowiązującej linii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ochronę obiektów wpisanych do gminnej ewidencji zabytków</w:t>
      </w:r>
      <w:r>
        <w:rPr>
          <w:color w:val="000000"/>
          <w:u w:color="000000"/>
        </w:rPr>
        <w:t xml:space="preserve"> Miasta Piotrków Trybunalski położonych przy ulicy Słowackiego 65 (identyfikator 146) i ulicy Słowackiego 57 (identyfikator 145) poprzez: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nakazuje się trwałe zachowanie zabytku zgodnie z przepisami odrębnymi z zakresu ochrony zabytków,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dopuszcza się </w:t>
      </w:r>
      <w:r>
        <w:rPr>
          <w:color w:val="000000"/>
          <w:u w:color="000000"/>
        </w:rPr>
        <w:t>prowadzenie prac konserwatorskich, restauratorskich i prac budowlanych związanych z zabytkiem,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zakazuje się nadbudowy budynków objętych ochroną,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dopuszcza się remont i przebudowę zabytku z zachowaniem poniższych warunków:</w:t>
      </w:r>
    </w:p>
    <w:p w:rsidR="00A77B3E" w:rsidRDefault="001C627F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zakazuje się stosowania ze</w:t>
      </w:r>
      <w:r>
        <w:rPr>
          <w:color w:val="000000"/>
          <w:u w:color="000000"/>
        </w:rPr>
        <w:t>wnętrznej termoizolacji elewacji budynku usytuowanej w obowiązującej linii zabudowy wzdłuż ulicy Słowackiego,</w:t>
      </w:r>
    </w:p>
    <w:p w:rsidR="00A77B3E" w:rsidRDefault="001C627F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zakazuje się stosowania we frontowej elewacji budynku stolarki okiennej i drzwiowej z PCV oraz ustala się jej zachowanie zgodnej z cechami histo</w:t>
      </w:r>
      <w:r>
        <w:rPr>
          <w:color w:val="000000"/>
          <w:u w:color="000000"/>
        </w:rPr>
        <w:t>rycznymi zabytku,</w:t>
      </w:r>
    </w:p>
    <w:p w:rsidR="00A77B3E" w:rsidRDefault="001C627F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zakazuje się stosowania parapetów, rynien i rur spustowych z PCV,</w:t>
      </w:r>
    </w:p>
    <w:p w:rsidR="00A77B3E" w:rsidRDefault="001C627F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zakazuje się stosowania elementów wykończeniowych kolidujących z cechami historycznymi zabytku,</w:t>
      </w:r>
    </w:p>
    <w:p w:rsidR="00A77B3E" w:rsidRDefault="001C627F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montaż urządzeń i pochylni dla niepełnosprawnych w sposó</w:t>
      </w:r>
      <w:r>
        <w:rPr>
          <w:color w:val="000000"/>
          <w:u w:color="000000"/>
        </w:rPr>
        <w:t>b nie kolidujący z cechami historycznymi zabytku,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e) </w:t>
      </w:r>
      <w:r>
        <w:rPr>
          <w:color w:val="000000"/>
          <w:u w:color="000000"/>
        </w:rPr>
        <w:t xml:space="preserve">ustala się realizację skrzynek przyłączy infrastruktury technicznej na elewacjach, pod warunkiem wbudowania ich w ścianę oraz wykonania części skrzynek widocznej z zewnątrz w barwie elewacji, w które są </w:t>
      </w:r>
      <w:r>
        <w:rPr>
          <w:color w:val="000000"/>
          <w:u w:color="000000"/>
        </w:rPr>
        <w:t>wbudowane;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planu nie występują obiekty dóbr kultury współczesnej, wobec czego plan nie ustala wymagań w tym zakresie.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Wymagania wynikające z kształtowania przestrzeni publicznych: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teren drogi </w:t>
      </w:r>
      <w:r>
        <w:rPr>
          <w:color w:val="000000"/>
          <w:u w:color="000000"/>
        </w:rPr>
        <w:t>publicznej oznaczony na rysunku planu symbolem 1KDD;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ciągów pieszych i chodników, przy czym zakazuje się stosowania asfaltów jako ich nawierzchni;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plan nie wyznacza obszar</w:t>
      </w:r>
      <w:r>
        <w:rPr>
          <w:color w:val="000000"/>
          <w:u w:color="000000"/>
        </w:rPr>
        <w:t>ów przestrzeni publicznych.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 xml:space="preserve">Granice i sposoby zagospodarowania terenów lub obiektów podlegających ochronie, na podstawie odrębnych przepisów, terenów górniczych, a także obszarów szczególnego zagrożenia powodzią, obszarów osuwania się mas ziemnych, </w:t>
      </w:r>
      <w:r>
        <w:rPr>
          <w:color w:val="000000"/>
          <w:u w:color="000000"/>
        </w:rPr>
        <w:t>krajobrazów priorytetowych określonych w audycie krajobrazowym oraz w planach zagospodarowania przestrzennego województwa;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</w:t>
      </w:r>
      <w:r>
        <w:rPr>
          <w:color w:val="000000"/>
          <w:u w:color="000000"/>
        </w:rPr>
        <w:t xml:space="preserve"> nie jest narażony na niebezpieczeństwo powodzi, wobec czego plan nie nakłada wymagań w tym zakresie;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Zasady</w:t>
      </w:r>
      <w:r>
        <w:rPr>
          <w:color w:val="000000"/>
          <w:u w:color="000000"/>
        </w:rPr>
        <w:t xml:space="preserve"> przebudowy (modernizacji), rozbudowy i budowy infrastruktury technicznej: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rozbudowę;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i</w:t>
      </w:r>
      <w:r>
        <w:rPr>
          <w:color w:val="000000"/>
          <w:u w:color="000000"/>
        </w:rPr>
        <w:t> budowę sieci i urządzeń infrastruktury technicznej;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urządzeń wytwarzających energię z odnawialnych źródeł energii wykorzystujących siłę wiatru oraz wytwarzających energię z biogazu lub biopłynów na całym obszarze objętym planem;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zakresie lokalizacji urządzeń wytwarzających energię z odnawialnych źródeł energii ustala się: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dopuszcza się lokalizację urządzeń wytwarzających energię z odnawialnych źródeł energii o mocy nie przekraczającej mocy mikroinstalacji;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zakaz lokalizacji </w:t>
      </w:r>
      <w:r>
        <w:rPr>
          <w:color w:val="000000"/>
          <w:u w:color="000000"/>
        </w:rPr>
        <w:t>urządzeń wytwarzających energię z odnawialnych źródeł energii o mocy przekraczającej 100 kW.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obowiązek wykorzystania dróg publiczny</w:t>
      </w:r>
      <w:r>
        <w:rPr>
          <w:color w:val="000000"/>
          <w:u w:color="000000"/>
        </w:rPr>
        <w:t>ch do celów p. poż., dla sprzętu ratowniczego i w sytuacjach kryzysowych;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ochrona przeciwpożarowa obiektów budowlanych poprzez hydranty lub zbiorniki przeciwpożarowe, montowane na sieci wodociągowej zgodnie z przepisami odrębnymi.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Sposób i termin tym</w:t>
      </w:r>
      <w:r>
        <w:rPr>
          <w:color w:val="000000"/>
          <w:u w:color="000000"/>
        </w:rPr>
        <w:t>czasowego zagospodarowania, urządzania i użytkowania terenów: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oraz budynki i budowle na nich zlokalizowane mogą być użytkowane w sposób dotychczasowy, do czasu realizacji zagospodarowania terenu zgodnie z ustaleniami planu.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 xml:space="preserve">Szczegółowe zasady </w:t>
      </w:r>
      <w:r>
        <w:rPr>
          <w:color w:val="000000"/>
          <w:u w:color="000000"/>
        </w:rPr>
        <w:t>i warunki scalania i podziału nieruchomości: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Ustala się następującą wysokość jednorazowej opłaty określoną w stosunku procentowym do wzrostu wartości nieruchomości - renta planistyczn</w:t>
      </w:r>
      <w:r>
        <w:rPr>
          <w:color w:val="000000"/>
          <w:u w:color="000000"/>
        </w:rPr>
        <w:t>a, która wynosi: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30% dla terenów MŚ;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30% dla terenów 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pozostałych terenów wyznaczonych w planie nie stwierdza się wzrostu wartości nieruchomości.</w:t>
      </w:r>
    </w:p>
    <w:p w:rsidR="00A77B3E" w:rsidRDefault="001C627F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:rsidR="00A77B3E" w:rsidRDefault="001C627F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 xml:space="preserve">Ustalenia dotyczące </w:t>
      </w:r>
      <w:r>
        <w:rPr>
          <w:b/>
          <w:color w:val="000000"/>
          <w:u w:color="000000"/>
        </w:rPr>
        <w:t>terenów zabudowy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1MŚ</w:t>
      </w:r>
      <w:r>
        <w:rPr>
          <w:color w:val="000000"/>
          <w:u w:color="000000"/>
        </w:rPr>
        <w:t xml:space="preserve"> – zabudowa wielofunkcyjna śródmiejska.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nowej zabudowy mieszkaniowej jednorodzinnej;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zakaz </w:t>
      </w:r>
      <w:r>
        <w:rPr>
          <w:color w:val="000000"/>
          <w:u w:color="000000"/>
        </w:rPr>
        <w:t>lokalizacji wolnostojących budynków gospodarczych i garażowych oraz zespołów tych budynków, w tym wiat, jako jedynego sposobu zagospodarowania działki budowlanej;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budynków gospodarczych i garażowych o konstrukcji blaszanej;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</w:t>
      </w:r>
      <w:r>
        <w:rPr>
          <w:color w:val="000000"/>
          <w:u w:color="000000"/>
        </w:rPr>
        <w:t>a się sytuowania budynków w odległości 1,5 m od granicy lub bezpośrednio przy granicy z sąsiednimi działkami budowlanymi;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nowo powstałych działek budowlanych: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usług polegających na składowa</w:t>
      </w:r>
      <w:r>
        <w:rPr>
          <w:color w:val="000000"/>
          <w:u w:color="000000"/>
        </w:rPr>
        <w:t xml:space="preserve">niu, magazynowaniu, przetwarzaniu, konfekcjonowaniu i obrocie handlowym kopalinami, kruszywami budowlanymi, ziemią, torfem, węglem opałowym we wszystkich postaciach, wszelkich odpadów w rozumieniu przepisów szczególnych oraz usług niewymagających obiektów </w:t>
      </w:r>
      <w:r>
        <w:rPr>
          <w:color w:val="000000"/>
          <w:u w:color="000000"/>
        </w:rPr>
        <w:t>kubaturowych, np.: parkingów, złomowisk, targowisk, itp.;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lokalizacji stacji paliw, LPG, myjni samochodowych, stacji demontażu pojazdów, zakładów mechaniki pojazdowej, lakierni i wulkanizacji.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</w:t>
      </w:r>
      <w:r>
        <w:rPr>
          <w:color w:val="000000"/>
          <w:u w:color="000000"/>
        </w:rPr>
        <w:t>odarowania terenu: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obowiązującą lub nieprzekraczalną linią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0,6 do 2,0;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 </w:t>
      </w:r>
      <w:r>
        <w:rPr>
          <w:color w:val="000000"/>
          <w:u w:color="000000"/>
        </w:rPr>
        <w:t>powierzchni działki budowlanej – 70%;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 powierzchni działki budowlanej – 15%;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zabudowy: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min. 7,0 m dla budynków usytuowanych w obowiązującej linii zabudowy,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</w:t>
      </w:r>
      <w:r>
        <w:rPr>
          <w:color w:val="000000"/>
          <w:u w:color="000000"/>
        </w:rPr>
        <w:t xml:space="preserve"> 12 m dla budynków,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 m dla budowli;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:rsidR="00A77B3E" w:rsidRDefault="001C627F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 kacie nachylenia do 7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, </w:t>
      </w:r>
    </w:p>
    <w:p w:rsidR="00A77B3E" w:rsidRDefault="001C627F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dwupołaciowe symetryczne lub wielopołaciowe o  kącie nachylenia połaci dachowych od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30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zakaz stosowania jako okładzin elewacyjnych: </w:t>
      </w:r>
      <w:r>
        <w:rPr>
          <w:color w:val="000000"/>
          <w:u w:color="000000"/>
        </w:rPr>
        <w:t>blach trapezowych, falistych i blachodachówki, płytek ceramicznych, PCV/PCW, drewna i imitacji drewna;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</w:t>
      </w:r>
      <w:r>
        <w:rPr>
          <w:color w:val="000000"/>
          <w:u w:color="000000"/>
        </w:rPr>
        <w:t>ją realizowaną na podstawie ustaleń planu;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przeznaczonych pod zabudowę usługową – 1 mp na każde rozpoczęte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</w:t>
      </w:r>
      <w:r>
        <w:rPr>
          <w:color w:val="000000"/>
          <w:u w:color="000000"/>
        </w:rPr>
        <w:t>chni użytkowej budynku oraz 1 miejsce do parkowania przeznaczonego na parkowanie pojazdów zaopatrzonych w kartę parkingową,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terenów przeznaczonych pod zabudowę mieszkaniową wielorodzinną – 1 miejsce do parkowania na każdy lokal mieszkalny, przy czym</w:t>
      </w:r>
      <w:r>
        <w:rPr>
          <w:color w:val="000000"/>
          <w:u w:color="000000"/>
        </w:rPr>
        <w:t xml:space="preserve"> dla funkcji mieszkaniowej nie ustala się obowiązku lokalizacji miejsc do parkowania dla pojazdów zaopatrzonych w kartę parkingową,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 ustala się wyznaczenie miejsc parkingowych odpowi</w:t>
      </w:r>
      <w:r>
        <w:rPr>
          <w:color w:val="000000"/>
          <w:u w:color="000000"/>
        </w:rPr>
        <w:t>ednio dla każdej z funkcji.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działek – 18 m,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drogi dojazdowej, oznaczonej na rysu</w:t>
      </w:r>
      <w:r>
        <w:rPr>
          <w:color w:val="000000"/>
          <w:u w:color="000000"/>
        </w:rPr>
        <w:t>nku planu symbolem 1KDD,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ulicy Słowackiego (poza obszarem opracowania),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 drogi publicznej – Al. Armii Krajowej (poza obszarem opracowania).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</w:t>
      </w:r>
      <w:r>
        <w:rPr>
          <w:color w:val="000000"/>
          <w:u w:color="000000"/>
        </w:rPr>
        <w:t xml:space="preserve">się teren oznaczony na rysunku planu symbolem </w:t>
      </w:r>
      <w:r>
        <w:rPr>
          <w:b/>
          <w:color w:val="000000"/>
          <w:u w:color="000000"/>
        </w:rPr>
        <w:t>2MŚ</w:t>
      </w:r>
      <w:r>
        <w:rPr>
          <w:color w:val="000000"/>
          <w:u w:color="000000"/>
        </w:rPr>
        <w:t xml:space="preserve"> – zabudowa wielofunkcyjna śródmiejska.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nowej zabudowy mieszkaniowej jednorodzinnej;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istniejących budynków mieszkalnych jedn</w:t>
      </w:r>
      <w:r>
        <w:rPr>
          <w:color w:val="000000"/>
          <w:u w:color="000000"/>
        </w:rPr>
        <w:t>orodzinnych dopuszcza się remont i przebudowę;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wolnostojących budynków gospodarczych i garażowych oraz zespołów tych budynków, w tym wiat, jako jedynego sposobu zagospodarowania działki budowlanej;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budynków gospoda</w:t>
      </w:r>
      <w:r>
        <w:rPr>
          <w:color w:val="000000"/>
          <w:u w:color="000000"/>
        </w:rPr>
        <w:t>rczych i garażowych o konstrukcji blaszanej;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sytuowania budynków w odległości 1,5 m od granicy lub bezpośrednio przy granicy z sąsiednimi działkami budowlanymi;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powstałych działek budowlanych: 3000</w:t>
      </w:r>
      <w:r>
        <w:rPr>
          <w:color w:val="000000"/>
          <w:u w:color="000000"/>
        </w:rPr>
        <w:t>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zakaz lokalizacji usług polegających na składowaniu, magazynowaniu, przetwarzaniu, konfekcjonowaniu i obrocie handlowym kopalinami, kruszywami budowlanymi, ziemią, torfem, węglem opałowym we wszystkich postaciach, wszelkich odpadów w rozumieniu </w:t>
      </w:r>
      <w:r>
        <w:rPr>
          <w:color w:val="000000"/>
          <w:u w:color="000000"/>
        </w:rPr>
        <w:t>przepisów szczególnych oraz usług niewymagających obiektów kubaturowych, np.: parkingów, złomowisk, targowisk, itp.;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lokalizacji stacji paliw, LPG, myjni samochodowych, stacji demontażu pojazdów, zakładów mechaniki pojazdowej, lakierni i wulkaniza</w:t>
      </w:r>
      <w:r>
        <w:rPr>
          <w:color w:val="000000"/>
          <w:u w:color="000000"/>
        </w:rPr>
        <w:t>cji.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obowiązującą lub nieprzekraczalną linią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0,6 do 2,0;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</w:t>
      </w:r>
      <w:r>
        <w:rPr>
          <w:color w:val="000000"/>
          <w:u w:color="000000"/>
        </w:rPr>
        <w:t>lną wielkość powierzchni zabudowy na działce w stosunku do powierzchni działki budowlanej – 70%;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 powierzchni działki budowlanej – 15%;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zabudowy: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min. 7,0 m dla </w:t>
      </w:r>
      <w:r>
        <w:rPr>
          <w:color w:val="000000"/>
          <w:u w:color="000000"/>
        </w:rPr>
        <w:t>budynków usytuowanych w obowiązującej linii zabudowy,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12 m dla budynków,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10 m dla budowli;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:rsidR="00A77B3E" w:rsidRDefault="001C627F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 kacie nachylenia do 7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:rsidR="00A77B3E" w:rsidRDefault="001C627F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dwupołaciowe symetryczne lub wielopołaciowe o kącie nachylenia połaci dachowych od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30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stosowania jako okładzin elewacyjnych: blach trapezowych, falistych i blachodachówki, płytek ceramicznych, PCV/PCW, drewna i imitacji drewna;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niż 3 rodzajów materiałów wykończeniowych (nie</w:t>
      </w:r>
      <w:r>
        <w:rPr>
          <w:color w:val="000000"/>
          <w:u w:color="000000"/>
        </w:rPr>
        <w:t xml:space="preserve"> dotyczy obróbek blacharskich oraz stolarki);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obowiązuje jednolita kolorystyka stolarki okiennej i drzwiowej dla wszystkich budynków w ramach działki budowlanej;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zakaz lokalizacji tymczasowych obiektów budowlanych, za wyjątkiem lokalizacji obiektów </w:t>
      </w:r>
      <w:r>
        <w:rPr>
          <w:color w:val="000000"/>
          <w:u w:color="000000"/>
        </w:rPr>
        <w:t>stanowiących zaplecze budowy związanej z inwestycją realizowaną na podstawie ustaleń planu;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przeznaczonych pod zabudowę u</w:t>
      </w:r>
      <w:r>
        <w:rPr>
          <w:color w:val="000000"/>
          <w:u w:color="000000"/>
        </w:rPr>
        <w:t>sługową – 1 mp na każde rozpoczęte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budynku oraz 1 miejsce do parkowania przeznaczonego na parkowanie pojazdów zaopatrzonych w kartę parkingową;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dla terenów przeznaczonych pod zabudowę mieszkaniowa wielorodzinną – 1 miejsce </w:t>
      </w:r>
      <w:r>
        <w:rPr>
          <w:color w:val="000000"/>
          <w:u w:color="000000"/>
        </w:rPr>
        <w:t>do parkowania na każdy lokal mieszkalny, przy czym dla funkcji mieszkaniowej nie ustala się obowiązku lokalizacji miejsc do parkowania dla pojazdów zaopatrzonych w kartę parkingową,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funkcji mieszkaniowej oraz usługowej</w:t>
      </w:r>
      <w:r>
        <w:rPr>
          <w:color w:val="000000"/>
          <w:u w:color="000000"/>
        </w:rPr>
        <w:t xml:space="preserve"> ustala się wyznaczenie miejsc parkingowych odpowiednio dla każdej z funkcji.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ustala się parametry działek </w:t>
      </w:r>
      <w:r>
        <w:rPr>
          <w:color w:val="000000"/>
          <w:u w:color="000000"/>
        </w:rPr>
        <w:t>powstałych w wyniku scalania i podziału nieruchomości: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działek – 18 m,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 </w:t>
      </w:r>
      <w:r>
        <w:rPr>
          <w:color w:val="000000"/>
          <w:u w:color="000000"/>
        </w:rPr>
        <w:t>drogi publicznej – drogi dojazdowej, oznaczonej na rysunku planu symbolem 1KDD,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ulicy Słowackiego (poza obszarem opracowania),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 drogi publicznej – ulicy Owocowej (poza obszarem opracowania).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 xml:space="preserve">Warunki w zakresie infrastruktury </w:t>
      </w:r>
      <w:r>
        <w:rPr>
          <w:color w:val="000000"/>
          <w:u w:color="000000"/>
        </w:rPr>
        <w:t>technicznej ustalone w Dziale IV.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1U</w:t>
      </w:r>
      <w:r>
        <w:rPr>
          <w:color w:val="000000"/>
          <w:u w:color="000000"/>
        </w:rPr>
        <w:t xml:space="preserve"> – zabudowa usługowa.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sytuowania budynków w odległości 1,5 m od granicy lub bezpośred</w:t>
      </w:r>
      <w:r>
        <w:rPr>
          <w:color w:val="000000"/>
          <w:u w:color="000000"/>
        </w:rPr>
        <w:t>nio przy granicy z sąsiednimi działkami budowlanymi;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minimalną powierzchnię nowo powstałych działek budowlanych: 5000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zakazuje się lokalizacji usług polegających na składowaniu, magazynowaniu, przetwarzaniu, konfekcjonowaniu i obrocie </w:t>
      </w:r>
      <w:r>
        <w:rPr>
          <w:color w:val="000000"/>
          <w:u w:color="000000"/>
        </w:rPr>
        <w:t>handlowym kopalinami, kruszywami budowlanymi, ziemią, torfem, węglem opałowym we wszystkich postaciach, wszelkich odpadów w rozumieniu przepisów szczególnych oraz usług niewymagających obiektów kubaturowych, np.: parkingów, złomowisk, targowisk, itp.;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</w:t>
      </w:r>
      <w:r>
        <w:rPr>
          <w:color w:val="000000"/>
          <w:u w:color="000000"/>
        </w:rPr>
        <w:t>akazuje się lokalizacji stacji demontażu pojazdów.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Warunki zagospodarowania działek: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obowiązującą lub nieprzekraczalną linią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0,8 do 2,0;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</w:t>
      </w:r>
      <w:r>
        <w:rPr>
          <w:color w:val="000000"/>
          <w:u w:color="000000"/>
        </w:rPr>
        <w:t>ię maksymalną wielkość powierzchni zabudowy na działce w stosunku do powierzchni działki budowlanej – 70%;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 powierzchni działki budowlanej – 15%;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zabudowy: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18</w:t>
      </w:r>
      <w:r>
        <w:rPr>
          <w:color w:val="000000"/>
          <w:u w:color="000000"/>
        </w:rPr>
        <w:t> m dla budynków usługowych,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10 m dla budowli;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rodzaj dachu:</w:t>
      </w:r>
    </w:p>
    <w:p w:rsidR="00A77B3E" w:rsidRDefault="001C627F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 kacie nachylenia do 7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, </w:t>
      </w:r>
    </w:p>
    <w:p w:rsidR="00A77B3E" w:rsidRDefault="001C627F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dwupołaciowe symetryczne lub wielopołaciowe o  kącie nachylenia połaci dachowych od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30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obowiązuje zapewnienie odpowiedniej </w:t>
      </w:r>
      <w:r>
        <w:rPr>
          <w:color w:val="000000"/>
          <w:u w:color="000000"/>
        </w:rPr>
        <w:t>ilości miejsc do parkowania w ramach działki budowlanej nie mniejszej niż: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przeznaczonych pod zabudowę usługową – 1 mp na każde rozpoczęte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budynku oraz 1 miejsce do parkowania przeznaczonego na parkowanie pojazdó</w:t>
      </w:r>
      <w:r>
        <w:rPr>
          <w:color w:val="000000"/>
          <w:u w:color="000000"/>
        </w:rPr>
        <w:t>w zaopatrzonych w kartę parkingową.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 warunki scalania i podziału nieruchomości: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wyznacza się granic obszarów wymagających przeprowadzenia scaleń i podzi</w:t>
      </w:r>
      <w:r>
        <w:rPr>
          <w:color w:val="000000"/>
          <w:u w:color="000000"/>
        </w:rPr>
        <w:t>ałów nieruchomości;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5000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30 m,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Szkolnej (poza obszarem opracowania),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Al. Armii Krajowej (poza obszarem opracowania),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 drogi publicznej – ulicy Owocowej (poza obszarem opracowania).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</w:t>
      </w:r>
      <w:r>
        <w:rPr>
          <w:color w:val="000000"/>
          <w:u w:color="000000"/>
        </w:rPr>
        <w:t>esie infrastruktury technicznej ustalone w  Dziale IV.</w:t>
      </w:r>
    </w:p>
    <w:p w:rsidR="00A77B3E" w:rsidRDefault="001C627F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dróg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– teren dróg publicznych – droga dojazdowa.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</w:t>
      </w:r>
      <w:r>
        <w:rPr>
          <w:color w:val="000000"/>
          <w:u w:color="000000"/>
        </w:rPr>
        <w:t>owania terenu: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sieci i urządzenia infrastruktury technicznej;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</w:t>
      </w:r>
      <w:r>
        <w:rPr>
          <w:color w:val="000000"/>
          <w:u w:color="000000"/>
        </w:rPr>
        <w:t> liniach rozgraniczających od 7,0 do 12,0 m, zgodnie z rysunkiem planu.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1KP </w:t>
      </w:r>
      <w:r>
        <w:rPr>
          <w:color w:val="000000"/>
          <w:u w:color="000000"/>
        </w:rPr>
        <w:t>– teren komunikacji samochodowej – parkingi.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parking powierzchniowy lub garaż wielopoziomowy;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sieci i urządzenia infrastruktury technicznej.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</w:t>
      </w:r>
      <w:r>
        <w:rPr>
          <w:color w:val="000000"/>
          <w:u w:color="000000"/>
        </w:rPr>
        <w:t>wania terenu: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nieprzekraczalną linią zabudowy;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 do 2,5 – dopuszcza się zagospodarowanie bez zabudowy kubaturowej;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ustala się maksymalną wielkość powierzchni </w:t>
      </w:r>
      <w:r>
        <w:rPr>
          <w:color w:val="000000"/>
          <w:u w:color="000000"/>
        </w:rPr>
        <w:t>zabudowy na działce w stosunku do powierzchni działki budowlanej – 95%;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 powierzchni działki budowlanej – 5%;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wysokość zabudowy: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12 m dla obiektów budowlanych;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rodz</w:t>
      </w:r>
      <w:r>
        <w:rPr>
          <w:color w:val="000000"/>
          <w:u w:color="000000"/>
        </w:rPr>
        <w:t>aj dachu: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dachy płaskie o kacie nachylenia do 7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przy czym dopuszcza się realizację na ostatniej kondygnacji parkingu otwartego;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zakaz stosowania jako okładzin elewacyjnych: blach trapezowych, falistych i blachodachówki, płytek ceramicznych, PCV/PCW</w:t>
      </w:r>
      <w:r>
        <w:rPr>
          <w:color w:val="000000"/>
          <w:u w:color="000000"/>
        </w:rPr>
        <w:t>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lokalizacji tymczasowych obiektów budowlanych, za wyjątkiem lokalizacji obiektów stanowiących zaplecze budowy związanej z inwestycją realizowaną na podstawie ustaleń planu;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minimum 5% z ogólnej liczby miejsc postojowych na parkowan</w:t>
      </w:r>
      <w:r>
        <w:rPr>
          <w:color w:val="000000"/>
          <w:u w:color="000000"/>
        </w:rPr>
        <w:t>ie pojazdów zaopatrzonych w kartę parkingową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parametrów działek powstałych w wyniku scalania i pod</w:t>
      </w:r>
      <w:r>
        <w:rPr>
          <w:color w:val="000000"/>
          <w:u w:color="000000"/>
        </w:rPr>
        <w:t>ziału nieruchomości.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Szkolnej (poza obszarem opracowania),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ulicy Owocowej (poza obszarem opracowania).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</w:t>
      </w:r>
      <w:r>
        <w:rPr>
          <w:color w:val="000000"/>
          <w:u w:color="000000"/>
        </w:rPr>
        <w:t>Dziale IV.</w:t>
      </w:r>
    </w:p>
    <w:p w:rsidR="00A77B3E" w:rsidRDefault="001C627F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infrastruktury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1E </w:t>
      </w:r>
      <w:r>
        <w:rPr>
          <w:color w:val="000000"/>
          <w:u w:color="000000"/>
        </w:rPr>
        <w:t xml:space="preserve">– teren infrastruktury technicznej – elektroenergetyka. 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dopuszcza </w:t>
      </w:r>
      <w:r>
        <w:rPr>
          <w:color w:val="000000"/>
          <w:u w:color="000000"/>
        </w:rPr>
        <w:t>się sytuowania budynków w odległości 1,5 m od granicy lub bezpośrednio przy granicy z sąsiednimi działkami budowlanymi;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 intensywności zabudowy od 0,01 do 0,7;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</w:t>
      </w:r>
      <w:r>
        <w:rPr>
          <w:color w:val="000000"/>
          <w:u w:color="000000"/>
        </w:rPr>
        <w:t>a wielkość powierzchni zabudowy na działce w stosunku do powierzchni działki budowlanej: 70%;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działki budowlanej: 5%;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wysokość zabudowy do 4,0 m;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płask</w:t>
      </w:r>
      <w:r>
        <w:rPr>
          <w:color w:val="000000"/>
          <w:u w:color="000000"/>
        </w:rPr>
        <w:t>i, o kącie nachylenia połaci do 7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:rsidR="00A77B3E" w:rsidRDefault="001C627F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dwuspadowy o kącie nachylenia połaci do 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stosowania na elewacjach blach trapezowych, falistych i blachodachówki oraz płytek ceramicznych.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 drogi publicznej – Al. </w:t>
      </w:r>
      <w:r>
        <w:rPr>
          <w:color w:val="000000"/>
          <w:u w:color="000000"/>
        </w:rPr>
        <w:t>Armii Krajowej (poza obszarem opracowania).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:rsidR="00A77B3E" w:rsidRDefault="001C627F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DOTYCZĄCE INFRASTRUKTURY TECHNICZNEJ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t>1. </w:t>
      </w:r>
      <w:r>
        <w:rPr>
          <w:color w:val="000000"/>
          <w:u w:color="000000"/>
        </w:rPr>
        <w:t>Ustala się następujące zasady w zakresie zaopatrzenia w wodę: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</w:t>
      </w:r>
      <w:r>
        <w:t>) </w:t>
      </w:r>
      <w:r>
        <w:rPr>
          <w:color w:val="000000"/>
          <w:u w:color="000000"/>
        </w:rPr>
        <w:t>zaopatrzenie w wodę do celów socjalno – bytowych, gospodarczych i przeciwpożarowych z istniejącej i projektowanej miejskiej sieci wodociągowej.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 zakresie odprowadzania ścieków: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</w:t>
      </w:r>
      <w:r>
        <w:rPr>
          <w:color w:val="000000"/>
          <w:u w:color="000000"/>
        </w:rPr>
        <w:t xml:space="preserve"> i projektowane sieci do zbiorowego systemu odprowadzania ścieków.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 zakresie odprowadzania wód opadowych i roztopowych: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nieruchomości przez naturalną i wy</w:t>
      </w:r>
      <w:r>
        <w:rPr>
          <w:color w:val="000000"/>
          <w:u w:color="000000"/>
        </w:rPr>
        <w:t>muszoną retencję gruntu;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odprowadzanie wód opadowych i roztopowych poprzez istniejący i projektowany system sieci kanalizacji deszczowej;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odprowadzania wód opadowych i roztopowych poprzez istniejący i projektowany system sieci kan</w:t>
      </w:r>
      <w:r>
        <w:rPr>
          <w:color w:val="000000"/>
          <w:u w:color="000000"/>
        </w:rPr>
        <w:t>alizacji deszczowej z terenów zabudowy mieszkaniowej śródmiejskiej  i terenów zieleni urządzonej.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 zakresie zaopatrzenia w energię elektryczną: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stacji transformatorowych;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 zakresie zaopatrzenia w gaz: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</w:t>
      </w:r>
      <w:r>
        <w:rPr>
          <w:color w:val="000000"/>
          <w:u w:color="000000"/>
        </w:rPr>
        <w:t>eci gazowej.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 zakresie zaopatrzenia w ciepło: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wykorzystywania do celów grzewczych źródeł ciepła zasilanych paliwami stałymi;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cieplnej, w tym źróde</w:t>
      </w:r>
      <w:r>
        <w:rPr>
          <w:color w:val="000000"/>
          <w:u w:color="000000"/>
        </w:rPr>
        <w:t>ł energii odnawialnej.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w łącza telefoniczne i teleinformatyczne: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</w:t>
      </w:r>
      <w:r>
        <w:rPr>
          <w:color w:val="000000"/>
          <w:u w:color="000000"/>
        </w:rPr>
        <w:t>elu publicznego z zakresu telekomunikacji na warunkach określonych w przepisach odrębnych i szczególnych;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obsługi w zakresie gospodarki odpadami stałymi:</w:t>
      </w:r>
    </w:p>
    <w:p w:rsidR="00A77B3E" w:rsidRDefault="001C627F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</w:t>
      </w:r>
      <w:r>
        <w:rPr>
          <w:color w:val="000000"/>
          <w:u w:color="000000"/>
        </w:rPr>
        <w:t>e odpadów w oparciu o miejski system oczyszczania.</w:t>
      </w:r>
    </w:p>
    <w:p w:rsidR="00A77B3E" w:rsidRDefault="001C627F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:rsidR="00A77B3E" w:rsidRDefault="001C627F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14.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:rsidR="00A77B3E" w:rsidRDefault="001C627F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Nr 1 do uchwały </w:t>
      </w:r>
      <w:r>
        <w:rPr>
          <w:color w:val="000000"/>
          <w:u w:color="000000"/>
        </w:rPr>
        <w:t>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77835" cy="8875289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7835" cy="88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7777" cy="886106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7777" cy="8861069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C627F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6267777" cy="8861069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1C627F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</w:t>
      </w:r>
      <w:r>
        <w:rPr>
          <w:color w:val="000000"/>
          <w:u w:color="000000"/>
        </w:rPr>
        <w:t xml:space="preserve"> Miasta Piotrkowa Trybunalskiego</w:t>
      </w:r>
      <w:r>
        <w:rPr>
          <w:color w:val="000000"/>
          <w:u w:color="000000"/>
        </w:rPr>
        <w:br/>
        <w:t>z dnia....................2022 r.</w:t>
      </w:r>
    </w:p>
    <w:p w:rsidR="00A77B3E" w:rsidRDefault="001C627F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ZMIANY PLANU MIEJSCOWEGO</w:t>
      </w:r>
    </w:p>
    <w:p w:rsidR="00A77B3E" w:rsidRDefault="001C627F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22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marca 2003 r. o planowaniu i zagospodarowaniu przestrzennym (tj. Dz. U. z 2022 r. poz. 503) Rada Miasta Piotrkowa Trybunalskiego stwierdza, że w ustawowym terminie po wyłożeniu do publiczn</w:t>
      </w:r>
      <w:r>
        <w:rPr>
          <w:color w:val="000000"/>
          <w:u w:color="000000"/>
        </w:rPr>
        <w:t>ego wglądu projektu miejscowego planu zagospodarowania przestrzennego w rejonie ulic: Słowackiego, Armii Krajowej, Szkolnej i Owocowej w Piotrkowie Trybunalskim, nie wniesiono uwag do projektu planu miejscowego.</w:t>
      </w:r>
    </w:p>
    <w:p w:rsidR="00A77B3E" w:rsidRDefault="001C627F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Nr 3 do uchwały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:rsidR="00A77B3E" w:rsidRDefault="001C627F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</w:t>
      </w:r>
      <w:r>
        <w:rPr>
          <w:b/>
          <w:color w:val="000000"/>
          <w:u w:color="000000"/>
        </w:rPr>
        <w:t>AZ ZASADACH ICH FINANSOWANIA, ZGODNIE Z PRZEPISAMI O FINANSACH PUBLICZNYCH</w:t>
      </w:r>
    </w:p>
    <w:p w:rsidR="00A77B3E" w:rsidRDefault="001C627F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 1 ustawy z dnia 8 marca 1990 r. o samorządzie gminnym (tj. Dz. U. z 2021 r. poz. 1372 ze zm.) w związku z uchwaleniem miejscowego planu zagospodarowania przest</w:t>
      </w:r>
      <w:r>
        <w:rPr>
          <w:color w:val="000000"/>
          <w:u w:color="000000"/>
        </w:rPr>
        <w:t>rzennego w rejonie ulic: Słowackiego, Armii Krajowej, Szkolnej i Owocowej w Piotrkowie Trybunalskim zostaną zagospodarowane kolejne tereny miasta, a dla terenów już zainwestowanych wprowadzone zostaną zasady zagospodarowania przy uwzględnieniu wymagań ładu</w:t>
      </w:r>
      <w:r>
        <w:rPr>
          <w:color w:val="000000"/>
          <w:u w:color="000000"/>
        </w:rPr>
        <w:t xml:space="preserve"> przestrzennego w tym urbanistyki i architektury.</w:t>
      </w:r>
    </w:p>
    <w:p w:rsidR="00A77B3E" w:rsidRDefault="001C627F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</w:t>
      </w:r>
      <w:r>
        <w:rPr>
          <w:color w:val="000000"/>
          <w:u w:color="000000"/>
        </w:rPr>
        <w:t>rejonie ulic: Słowackiego, Armii Krajowej, Szkolnej i Owocowej w Piotrkowie Trybunalskim, ustalenia projektowanego planu nie generują wydatków związanych z jego uchwaleniem.</w:t>
      </w:r>
    </w:p>
    <w:p w:rsidR="00A77B3E" w:rsidRDefault="001C627F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Miasta Piotrkowa Trybunal</w:t>
      </w:r>
      <w:r>
        <w:t>skiego</w:t>
      </w:r>
      <w:r>
        <w:rPr>
          <w:color w:val="000000"/>
          <w:u w:color="000000"/>
        </w:rPr>
        <w:br/>
      </w:r>
      <w:r>
        <w:t>z dnia .................... 2022 r.</w:t>
      </w:r>
      <w:r>
        <w:rPr>
          <w:color w:val="000000"/>
          <w:u w:color="000000"/>
        </w:rPr>
        <w:br/>
      </w:r>
      <w:hyperlink r:id="rId24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:rsidR="00A77B3E" w:rsidRDefault="001C627F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z dnia 27 marc</w:t>
      </w:r>
      <w:r>
        <w:rPr>
          <w:b/>
          <w:color w:val="000000"/>
          <w:u w:color="000000"/>
        </w:rPr>
        <w:t>a 2003 r. o planowaniu i zagospodarowaniu przestrzennym (j.t. Dz.U. z 2020 r. poz. 293 z późn. zm.) ujawnione zostaną po kliknięciu w ikonę</w:t>
      </w:r>
    </w:p>
    <w:p w:rsidR="00B15056" w:rsidRDefault="00B15056">
      <w:pPr>
        <w:rPr>
          <w:szCs w:val="20"/>
        </w:rPr>
      </w:pPr>
    </w:p>
    <w:p w:rsidR="00B15056" w:rsidRDefault="001C627F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:rsidR="00B15056" w:rsidRDefault="001C627F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Uzasadnienie do projektu Uchwały Rady Miasta Piotrkowa Trybunalskiego w sprawie </w:t>
      </w:r>
    </w:p>
    <w:p w:rsidR="00B15056" w:rsidRDefault="001C627F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miejscowego planu zagospodarowania przestrzennego w rejonie ulic: Słowackiego, </w:t>
      </w:r>
    </w:p>
    <w:p w:rsidR="00B15056" w:rsidRDefault="001C627F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Armii Krajowej, Szkolnej i Owocowej w Piotrkowie Trybunalskim</w:t>
      </w:r>
    </w:p>
    <w:p w:rsidR="00B15056" w:rsidRDefault="001C627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miejscowego planu zagospodarowania przestrzennego w rejonie ulic: Słowackiego, Armii Krajowej, Szkolnej i </w:t>
      </w:r>
      <w:r>
        <w:rPr>
          <w:color w:val="000000"/>
          <w:szCs w:val="20"/>
          <w:u w:color="000000"/>
        </w:rPr>
        <w:t>Owocowej w Piotrkowie Trybunalskim opracowany został na podstawie Uchwały Nr XXXIV/471/21 Rady Miasta Piotrkowa Trybunalskiego z dnia 31 marca 2021 r. w sprawie przystąpienia do sporządzenia miejscowego planu zagospodarowania przestrzennego w rejonie ulic:</w:t>
      </w:r>
      <w:r>
        <w:rPr>
          <w:color w:val="000000"/>
          <w:szCs w:val="20"/>
          <w:u w:color="000000"/>
        </w:rPr>
        <w:t xml:space="preserve"> Słowackiego, Armii Krajowej, Szkolnej i Owocowej w Piotrkowie Trybunalskim. Plan obejmie obszar o powierzchni ok. 4,0 ha.</w:t>
      </w:r>
    </w:p>
    <w:p w:rsidR="00B15056" w:rsidRDefault="001C627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całym obszarze obowiązuje miejscowy plan zagospodarowania przestrzennego przyjęty Uchwałą Nr XVI/275/07 Rady Miasta Piotrkowa Tryb</w:t>
      </w:r>
      <w:r>
        <w:rPr>
          <w:color w:val="000000"/>
          <w:szCs w:val="20"/>
          <w:u w:color="000000"/>
        </w:rPr>
        <w:t>unalskiego z dnia 28 listopada 2007 r. (Dz. Urz. Woj. Łódzkiego z dnia 15 stycznia 2008 r. Nr 12 poz. 165) ze zmianami przyjętymi Uchwałą Nr XLVIII/795/10 Rady Miasta Piotrkowa Trybunalskiego z dnia 27 stycznia 2010 r. (Dz. Urz. Woj. Łódzkiego z dnia 12 ma</w:t>
      </w:r>
      <w:r>
        <w:rPr>
          <w:color w:val="000000"/>
          <w:szCs w:val="20"/>
          <w:u w:color="000000"/>
        </w:rPr>
        <w:t xml:space="preserve">rca 2010 r. Nr 70 poz. 549) oraz Uchwałą Nr XXX/570/13 Rady Miasta Piotrkowa Trybunalskiego z dnia 27 lutego 2013 r. (Dz. Urz. Woj. Łódzkiego z dnia 18 kwietnia 2013 r. poz. 2177) w sprawie miejscowego planu zagospodarowania przestrzennego w rejonie ulic: </w:t>
      </w:r>
      <w:r>
        <w:rPr>
          <w:color w:val="000000"/>
          <w:szCs w:val="20"/>
          <w:u w:color="000000"/>
        </w:rPr>
        <w:t>Słowackiego, Armii Krajowej, Wojska Polskiego, Staszica i terenów PKP w Piotrkowie Trybunalskim, który przeznacza przedmiotowy obszar pod zabudowę usługową, wielofunkcyjną śródmiejską, plac miejski i teren obsługi komunikacji – parking.</w:t>
      </w:r>
    </w:p>
    <w:p w:rsidR="00B15056" w:rsidRDefault="001C627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Studium Uwarunkowań</w:t>
      </w:r>
      <w:r>
        <w:rPr>
          <w:color w:val="000000"/>
          <w:szCs w:val="20"/>
          <w:u w:color="000000"/>
        </w:rPr>
        <w:t xml:space="preserve"> i Kierunków Zagospodarowania Przestrzennego Miasta Piotrkowa Trybunalskiego na wskazanym obszarze ustala funkcję U oraz MŚ, zgodnie z którymi przedmiotowy obszar przeznacza się pod zabudowę usługową i wielofunkcyjną śródmiejską. Część obszaru znajduje się</w:t>
      </w:r>
      <w:r>
        <w:rPr>
          <w:color w:val="000000"/>
          <w:szCs w:val="20"/>
          <w:u w:color="000000"/>
        </w:rPr>
        <w:t xml:space="preserve"> w strefie ochrony konserwatorskiej „B” i w strefie ochrony ekspozycji „E”.</w:t>
      </w:r>
    </w:p>
    <w:p w:rsidR="00B15056" w:rsidRDefault="001C627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celem opracowania dokumentu planistycznego stanowiącego akt prawa miejscowego jest wprowadzenie jednolitych zapisów w ramach całego terenu zabudowy wielofunkcyjnej śródmiej</w:t>
      </w:r>
      <w:r>
        <w:rPr>
          <w:color w:val="000000"/>
          <w:szCs w:val="20"/>
          <w:u w:color="000000"/>
        </w:rPr>
        <w:t>skiej zgodnie z ustaleniami studium, uszczegółowienie przeznaczenia terenów oraz powiązanie tego obszaru z przyległymi terenami.</w:t>
      </w:r>
    </w:p>
    <w:p w:rsidR="00B15056" w:rsidRDefault="001C627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sporządzony został według procedury planistycznej określonej w art. 17 ustawy z dnia 27 marca 2003 r. o planowani</w:t>
      </w:r>
      <w:r>
        <w:rPr>
          <w:color w:val="000000"/>
          <w:szCs w:val="20"/>
          <w:u w:color="000000"/>
        </w:rPr>
        <w:t>u i zagospodarowaniu przestrzennym (tj. Dz. U. z 2022 r. poz. 503) oraz z uwzględnieniem stosowanych standardów obowiązujących przy zapisywaniu ustaleń projektu planu, wprowadzonych Rozporządzeniem Ministra Infrastruktury z dnia 26 sierpnia 2003 roku w spr</w:t>
      </w:r>
      <w:r>
        <w:rPr>
          <w:color w:val="000000"/>
          <w:szCs w:val="20"/>
          <w:u w:color="000000"/>
        </w:rPr>
        <w:t>awie wymaganego zakresu projektu miejscowego planu zagospodarowania przestrzennego. Projekt planu uzyskał wszystkie wymagane uzgodnienia i opinie oraz podlegał wyłożeniu do publicznego wglądu.</w:t>
      </w:r>
    </w:p>
    <w:p w:rsidR="00B15056" w:rsidRDefault="001C627F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</w:t>
      </w:r>
      <w:r>
        <w:rPr>
          <w:color w:val="000000"/>
          <w:szCs w:val="20"/>
          <w:u w:color="000000"/>
        </w:rPr>
        <w:t> sposobie rozpatrzenia wniesionych uwag do projektu planu oraz o sposobie realizacji zapisanych w planie inwestycji z zakresu infrastruktury technicznej, które należą do zadań własnych gminy, jak również o zasadach ich finansowania. W terminie przysługując</w:t>
      </w:r>
      <w:r>
        <w:rPr>
          <w:color w:val="000000"/>
          <w:szCs w:val="20"/>
          <w:u w:color="000000"/>
        </w:rPr>
        <w:t>ym do wniesienia uwag do projektu planu, uwagi takie nie wpłynęły.</w:t>
      </w:r>
    </w:p>
    <w:sectPr w:rsidR="00B15056">
      <w:footerReference w:type="default" r:id="rId26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C627F">
      <w:r>
        <w:separator/>
      </w:r>
    </w:p>
  </w:endnote>
  <w:endnote w:type="continuationSeparator" w:id="0">
    <w:p w:rsidR="00000000" w:rsidRDefault="001C6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B15056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left"/>
            <w:rPr>
              <w:sz w:val="18"/>
            </w:rPr>
          </w:pPr>
          <w:r>
            <w:rPr>
              <w:sz w:val="18"/>
            </w:rPr>
            <w:t>Id: 8896D0B1-2D98-41C3-AD10-0FB78CC9F961.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15056" w:rsidRDefault="00B15056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15056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left"/>
            <w:rPr>
              <w:sz w:val="18"/>
            </w:rPr>
          </w:pPr>
          <w:r>
            <w:rPr>
              <w:sz w:val="18"/>
            </w:rPr>
            <w:t>Id: 8896D0B1-2D98-41C3-AD10-0FB78CC9F961.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end"/>
          </w:r>
        </w:p>
      </w:tc>
    </w:tr>
  </w:tbl>
  <w:p w:rsidR="00B15056" w:rsidRDefault="00B15056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15056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left"/>
            <w:rPr>
              <w:sz w:val="18"/>
            </w:rPr>
          </w:pPr>
          <w:r>
            <w:rPr>
              <w:sz w:val="18"/>
            </w:rPr>
            <w:t>Id: 8896D0B1-2D98-41C3-AD10-0FB78CC9F961.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end"/>
          </w:r>
        </w:p>
      </w:tc>
    </w:tr>
  </w:tbl>
  <w:p w:rsidR="00B15056" w:rsidRDefault="00B15056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15056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left"/>
            <w:rPr>
              <w:sz w:val="18"/>
            </w:rPr>
          </w:pPr>
          <w:r>
            <w:rPr>
              <w:sz w:val="18"/>
            </w:rPr>
            <w:t>Id: 8896D0B1-2D98-41C3-AD10-0FB78CC9F961.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end"/>
          </w:r>
        </w:p>
      </w:tc>
    </w:tr>
  </w:tbl>
  <w:p w:rsidR="00B15056" w:rsidRDefault="00B15056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15056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left"/>
            <w:rPr>
              <w:sz w:val="18"/>
            </w:rPr>
          </w:pPr>
          <w:r>
            <w:rPr>
              <w:sz w:val="18"/>
            </w:rPr>
            <w:t>Id: 8896D0B1-2D98-41C3-AD10-0FB78CC9F961.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end"/>
          </w:r>
        </w:p>
      </w:tc>
    </w:tr>
  </w:tbl>
  <w:p w:rsidR="00B15056" w:rsidRDefault="00B15056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B15056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left"/>
            <w:rPr>
              <w:sz w:val="18"/>
            </w:rPr>
          </w:pPr>
          <w:r>
            <w:rPr>
              <w:sz w:val="18"/>
            </w:rPr>
            <w:t>Id: 8896D0B1-2D98-41C3-AD10-0FB78CC9F961.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15056" w:rsidRDefault="001C627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end"/>
          </w:r>
        </w:p>
      </w:tc>
    </w:tr>
  </w:tbl>
  <w:p w:rsidR="00B15056" w:rsidRDefault="00B15056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C627F">
      <w:r>
        <w:separator/>
      </w:r>
    </w:p>
  </w:footnote>
  <w:footnote w:type="continuationSeparator" w:id="0">
    <w:p w:rsidR="00000000" w:rsidRDefault="001C6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C627F"/>
    <w:rsid w:val="00A77B3E"/>
    <w:rsid w:val="00B15056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docId w15:val="{88DB12F6-D777-4ED1-8436-679F9119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AD6C505-4835-4872-BADF-4DBCBEE76A13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831122F6-7726-4BD3-8E76-C95A5C0BB05D.jpg" TargetMode="External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ZalacznikD5B4DFA1-2155-441A-AE3A-D295E6EEAB2A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ZalacznikE979B205-0006-4005-8FFE-E39E270DEB58.jpg" TargetMode="External"/><Relationship Id="rId20" Type="http://schemas.openxmlformats.org/officeDocument/2006/relationships/image" Target="Zalacznik5BBC0D12-54EE-4201-BF61-07E259992B58.jp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hyperlink" Target="Zalacznik4.g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Zalacznik8CE2A37C-89A0-4D24-B444-AAEAA4F55065.jp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98441390-91D9-4477-AF06-68B15D411802.jpg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5509</Words>
  <Characters>33054</Characters>
  <Application>Microsoft Office Word</Application>
  <DocSecurity>4</DocSecurity>
  <Lines>275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38487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ulic: Słowackiego, Armii Krajowej, Szkolnej i^Owocowej w^Piotrkowie Trybunalskim</dc:subject>
  <dc:creator>Mroz_M</dc:creator>
  <cp:lastModifiedBy>Budkowska Paulina</cp:lastModifiedBy>
  <cp:revision>2</cp:revision>
  <dcterms:created xsi:type="dcterms:W3CDTF">2022-03-25T09:26:00Z</dcterms:created>
  <dcterms:modified xsi:type="dcterms:W3CDTF">2022-03-25T09:26:00Z</dcterms:modified>
  <cp:category>Akt prawny</cp:category>
</cp:coreProperties>
</file>