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7979" w14:textId="77777777" w:rsidR="00526DD6" w:rsidRPr="00526DD6" w:rsidRDefault="00526DD6" w:rsidP="00BC5168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Piotrków Trybunalski, dn.14.02.2022 r.</w:t>
      </w:r>
    </w:p>
    <w:p w14:paraId="3BD3F7FD" w14:textId="77777777" w:rsidR="00526DD6" w:rsidRPr="00526DD6" w:rsidRDefault="00526DD6" w:rsidP="00526DD6">
      <w:pPr>
        <w:spacing w:after="0" w:line="360" w:lineRule="auto"/>
        <w:ind w:left="11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DDD875E" w14:textId="77777777" w:rsidR="007E11D6" w:rsidRPr="00526DD6" w:rsidRDefault="007E11D6" w:rsidP="00526DD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 Administracj</w:t>
      </w:r>
      <w:r w:rsidR="00526DD6"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i, Bezpieczeństwa  </w:t>
      </w: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Publicznego i Inwentaryzacji </w:t>
      </w:r>
      <w:r w:rsidR="00526DD6"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Mienia Komunalnego </w:t>
      </w: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Miasta Piotrkowa Trybunalskiego </w:t>
      </w:r>
    </w:p>
    <w:p w14:paraId="469EEE8D" w14:textId="77777777" w:rsidR="00526DD6" w:rsidRDefault="00526DD6" w:rsidP="00526DD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A32630C" w14:textId="77777777" w:rsidR="00AD42DC" w:rsidRPr="00526DD6" w:rsidRDefault="00526DD6" w:rsidP="00526DD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7E11D6"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DRM.0012.7.</w:t>
      </w:r>
      <w:r w:rsidR="00370A83"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B52B33"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.2022</w:t>
      </w:r>
    </w:p>
    <w:p w14:paraId="5A0EBCAB" w14:textId="77777777" w:rsidR="00526DD6" w:rsidRDefault="00526DD6" w:rsidP="00526DD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268C8E3" w14:textId="77777777" w:rsidR="007E11D6" w:rsidRPr="00526DD6" w:rsidRDefault="007E11D6" w:rsidP="00526DD6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</w:t>
      </w:r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i Inwentaryzacji Mienia Komunalnego na podstawie art.15 </w:t>
      </w:r>
      <w:proofErr w:type="spellStart"/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</w:t>
      </w:r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 xml:space="preserve">2 marca 2020 r. o szczególnych rozwiązaniach związanych z zapobieganiem, przeciwdziałaniem i zwalczaniem COVID-19, innych chorób zakaźnych oraz wywołanych nimi sytuacji kryzysowych </w:t>
      </w:r>
      <w:r w:rsidR="00875E34"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(</w:t>
      </w:r>
      <w:proofErr w:type="spellStart"/>
      <w:r w:rsidR="00875E34"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t.j</w:t>
      </w:r>
      <w:proofErr w:type="spellEnd"/>
      <w:r w:rsidR="00875E34"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 Dz. U. z 2021 r. poz. 2095; zm</w:t>
      </w:r>
      <w:r w:rsid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.: Dz. U. z 2021 r. poz. 2120, </w:t>
      </w:r>
      <w:r w:rsidR="00875E34"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poz. 2133, poz. 2262, poz. 2269, poz. 2317, poz. 2368, poz. 2459 oraz z 2022 r. poz. 202 i poz. 218)  </w:t>
      </w:r>
      <w:r w:rsidRPr="00526DD6">
        <w:rPr>
          <w:rStyle w:val="Teksttreci2"/>
          <w:rFonts w:ascii="Arial" w:eastAsiaTheme="minorHAnsi" w:hAnsi="Arial" w:cs="Arial"/>
          <w:color w:val="FF0000"/>
        </w:rPr>
        <w:t xml:space="preserve"> </w:t>
      </w:r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  <w:bookmarkStart w:id="0" w:name="bookmark1"/>
      <w:r w:rsid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B52B33" w:rsidRPr="00526D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5E34" w:rsidRPr="00526DD6">
        <w:rPr>
          <w:rFonts w:ascii="Arial" w:hAnsi="Arial" w:cs="Arial"/>
          <w:color w:val="000000" w:themeColor="text1"/>
          <w:sz w:val="24"/>
          <w:szCs w:val="24"/>
        </w:rPr>
        <w:t>22 lutego (wtorek</w:t>
      </w:r>
      <w:r w:rsidR="00B52B33" w:rsidRPr="00526DD6">
        <w:rPr>
          <w:rFonts w:ascii="Arial" w:hAnsi="Arial" w:cs="Arial"/>
          <w:color w:val="000000" w:themeColor="text1"/>
          <w:sz w:val="24"/>
          <w:szCs w:val="24"/>
        </w:rPr>
        <w:t>) 2022</w:t>
      </w:r>
      <w:r w:rsidRPr="00526DD6">
        <w:rPr>
          <w:rFonts w:ascii="Arial" w:hAnsi="Arial" w:cs="Arial"/>
          <w:color w:val="000000" w:themeColor="text1"/>
          <w:sz w:val="24"/>
          <w:szCs w:val="24"/>
        </w:rPr>
        <w:t xml:space="preserve"> r. o </w:t>
      </w:r>
      <w:r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="00AB76CC"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875E34" w:rsidRP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7.45</w:t>
      </w:r>
      <w:r w:rsidR="00526DD6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Pr="00526DD6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 xml:space="preserve">w trybie </w:t>
      </w:r>
      <w:r w:rsidR="00875E34" w:rsidRPr="00526DD6">
        <w:rPr>
          <w:rFonts w:ascii="Arial" w:hAnsi="Arial" w:cs="Arial"/>
          <w:color w:val="000000" w:themeColor="text1"/>
          <w:sz w:val="24"/>
          <w:szCs w:val="24"/>
          <w:lang w:eastAsia="pl-PL" w:bidi="pl-PL"/>
        </w:rPr>
        <w:t>korespondencyjnym.</w:t>
      </w:r>
    </w:p>
    <w:p w14:paraId="08EF5B00" w14:textId="77777777" w:rsidR="007E11D6" w:rsidRPr="00526DD6" w:rsidRDefault="007E11D6" w:rsidP="00526DD6">
      <w:p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AF3B39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sowań od dnia </w:t>
      </w:r>
      <w:r w:rsidR="00875E34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14 lutego</w:t>
      </w:r>
      <w:r w:rsidR="005F4DA2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2022</w:t>
      </w: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r., za po</w:t>
      </w:r>
      <w:r w:rsid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w Urzędzie Miasta, Pasaż Karola Rudowskiego 10).</w:t>
      </w:r>
    </w:p>
    <w:p w14:paraId="6182BAC2" w14:textId="77777777" w:rsidR="007E11D6" w:rsidRPr="00526DD6" w:rsidRDefault="007E11D6" w:rsidP="00526DD6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po wy</w:t>
      </w:r>
      <w:r w:rsidR="005F4DA2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pe</w:t>
      </w:r>
      <w:r w:rsidR="00AB2782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łnieniu należy złożyć do dnia 21</w:t>
      </w:r>
      <w:r w:rsidR="00875E34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lutego</w:t>
      </w:r>
      <w:r w:rsidR="005F4DA2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br/>
        <w:t>2022</w:t>
      </w: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</w:t>
      </w:r>
      <w:r w:rsidR="00AB2782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875E34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22 lutego</w:t>
      </w:r>
      <w:r w:rsidR="00D630C1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="005F4DA2"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2022</w:t>
      </w:r>
      <w:r w:rsidRPr="00526DD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r., zwołanej w trybie korespondencyjnym. </w:t>
      </w:r>
    </w:p>
    <w:p w14:paraId="6F43984E" w14:textId="77777777" w:rsidR="0066262A" w:rsidRPr="00526DD6" w:rsidRDefault="007E11D6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Stwierdzenie prawomocności posiedzenia.</w:t>
      </w:r>
    </w:p>
    <w:p w14:paraId="0F36D237" w14:textId="77777777" w:rsidR="007E11D6" w:rsidRPr="00526DD6" w:rsidRDefault="007E11D6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Proponowany porządek dzienny posiedzenia:</w:t>
      </w:r>
    </w:p>
    <w:p w14:paraId="452B2E6B" w14:textId="77777777" w:rsidR="00B52B33" w:rsidRPr="00526DD6" w:rsidRDefault="00265419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Administracji, </w:t>
      </w: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Bezpieczeństwa Publicznego i Inwentaryzacji Mienia Komunalnego z dnia </w:t>
      </w:r>
      <w:r w:rsidR="00370A83"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 stycznia 2022</w:t>
      </w:r>
      <w:r w:rsidRPr="00526D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roku.</w:t>
      </w:r>
    </w:p>
    <w:p w14:paraId="24A09FAE" w14:textId="77777777" w:rsidR="00370A83" w:rsidRPr="00526DD6" w:rsidRDefault="00370A83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uchwały w sprawie ustalenia przebiegu dróg gminnych w granicach administracyjnych miasta.</w:t>
      </w:r>
    </w:p>
    <w:p w14:paraId="411AA3C3" w14:textId="77777777" w:rsidR="00875E34" w:rsidRPr="00526DD6" w:rsidRDefault="00875E34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</w:rPr>
        <w:lastRenderedPageBreak/>
        <w:t>Zaopiniowanie projektu uchwały w sprawie przystąpienia do sporządzenia miejscowego planu zagospodarowania przestrzennego w rejonie ulic: Sulejowskiej, Włókienniczej, Filtrowej oraz rzeki Strawy w Piotrkowie Trybunalskim.</w:t>
      </w:r>
    </w:p>
    <w:p w14:paraId="3609499B" w14:textId="77777777" w:rsidR="00875E34" w:rsidRPr="00526DD6" w:rsidRDefault="00875E34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miejscowego planu zagospodarowania przestrzennego terenów w rejonie ulicy Energetyków w Piotrkowie Trybunalskim.</w:t>
      </w:r>
    </w:p>
    <w:p w14:paraId="1D598A04" w14:textId="77777777" w:rsidR="00875E34" w:rsidRPr="00526DD6" w:rsidRDefault="00875E34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Informacja z działalności Komendy Miejskiej Państwowej Straży Pożarnej w Piotrkowie Trybunalskim za rok 2021.</w:t>
      </w:r>
    </w:p>
    <w:p w14:paraId="0F10729B" w14:textId="77777777" w:rsidR="00875E34" w:rsidRPr="00526DD6" w:rsidRDefault="00875E34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Informacja o stanie bezpieczeństwa i porządku publicznego na terenie miasta Piotrkowa Trybunalskiego za 2021 rok Komendy Miejskiej Policji w Piotrkowie Trybunalskim.</w:t>
      </w:r>
    </w:p>
    <w:p w14:paraId="05094BCD" w14:textId="77777777" w:rsidR="00875E34" w:rsidRPr="00526DD6" w:rsidRDefault="00875E34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Informacja o zgłoszonych żądaniach w roku 2021, w zakresie art. 36 ust. 1-3 ustawy z dnia 27 marca 2003 r. o planowaniu i zagospodarowaniu przestrzennym (roszczenia związane z uchwalaniem lub zmianą miejscowego planu zagospodarowania przestrzennego) oraz w zakresie art. 36 ust. 4 w związku z art. 37 ust. 7 ustawy z dnia 27 marca 2003 r. o planowaniu i zagospodarowaniu przestrzennym o przeprowadzonych postępowaniach administracyjnych zmierzających do określenia należnej gminie opłaty z tytułu wzrostu wartości nieruchomości – </w:t>
      </w:r>
      <w:proofErr w:type="spellStart"/>
      <w:r w:rsidRPr="00526D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tzw</w:t>
      </w:r>
      <w:proofErr w:type="spellEnd"/>
      <w:r w:rsidRPr="00526D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,. ,,renta planistyczna’’. </w:t>
      </w:r>
    </w:p>
    <w:p w14:paraId="50ADA062" w14:textId="77777777" w:rsidR="00370A83" w:rsidRPr="00526DD6" w:rsidRDefault="00370A83" w:rsidP="00526DD6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26DD6">
        <w:rPr>
          <w:rFonts w:ascii="Arial" w:hAnsi="Arial" w:cs="Arial"/>
          <w:color w:val="000000" w:themeColor="text1"/>
          <w:sz w:val="24"/>
          <w:szCs w:val="24"/>
        </w:rPr>
        <w:t>Sprawozdanie z działalności Komisji Administrac</w:t>
      </w:r>
      <w:r w:rsidR="00875E34" w:rsidRPr="00526DD6">
        <w:rPr>
          <w:rFonts w:ascii="Arial" w:hAnsi="Arial" w:cs="Arial"/>
          <w:color w:val="000000" w:themeColor="text1"/>
          <w:sz w:val="24"/>
          <w:szCs w:val="24"/>
        </w:rPr>
        <w:t xml:space="preserve">ji, Bezpieczeństwa Publicznego </w:t>
      </w:r>
      <w:r w:rsidRPr="00526DD6">
        <w:rPr>
          <w:rFonts w:ascii="Arial" w:hAnsi="Arial" w:cs="Arial"/>
          <w:color w:val="000000" w:themeColor="text1"/>
          <w:sz w:val="24"/>
          <w:szCs w:val="24"/>
        </w:rPr>
        <w:t>i Inwentaryzacji Mienia Komunalnego Rady Miasta Piotrkowa Trybunalskiego za okres od 1 stycznia 2021 r. do 31 grudnia 2021 r.</w:t>
      </w:r>
    </w:p>
    <w:p w14:paraId="2FEEB02F" w14:textId="77777777" w:rsidR="0066262A" w:rsidRPr="00526DD6" w:rsidRDefault="0066262A" w:rsidP="00526DD6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2E9DA15" w14:textId="77777777" w:rsidR="00875E34" w:rsidRPr="00526DD6" w:rsidRDefault="00875E34" w:rsidP="00526DD6">
      <w:pPr>
        <w:spacing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5F1B7392" w14:textId="3B2D7FEE" w:rsidR="00BC5168" w:rsidRDefault="00526DD6" w:rsidP="00BC5168">
      <w:pPr>
        <w:spacing w:line="360" w:lineRule="auto"/>
        <w:ind w:left="4956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Podpisał </w:t>
      </w:r>
      <w:r w:rsidR="00D630C1" w:rsidRPr="00526DD6">
        <w:rPr>
          <w:rFonts w:ascii="Arial" w:eastAsia="Times New Roman" w:hAnsi="Arial" w:cs="Arial"/>
          <w:noProof/>
          <w:sz w:val="24"/>
          <w:szCs w:val="24"/>
          <w:lang w:eastAsia="pl-PL"/>
        </w:rPr>
        <w:t>Wiceprzewodniczący</w:t>
      </w:r>
      <w:r w:rsidR="00DD164A" w:rsidRPr="00526DD6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</w:t>
      </w:r>
    </w:p>
    <w:p w14:paraId="10603DC2" w14:textId="61A3AC72" w:rsidR="00973F4E" w:rsidRPr="00526DD6" w:rsidRDefault="00D630C1" w:rsidP="00BC5168">
      <w:pPr>
        <w:spacing w:line="360" w:lineRule="auto"/>
        <w:ind w:left="4956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526DD6">
        <w:rPr>
          <w:rFonts w:ascii="Arial" w:eastAsia="Times New Roman" w:hAnsi="Arial" w:cs="Arial"/>
          <w:noProof/>
          <w:sz w:val="24"/>
          <w:szCs w:val="24"/>
          <w:lang w:eastAsia="pl-PL"/>
        </w:rPr>
        <w:t>Bogumił Pęcina</w:t>
      </w:r>
    </w:p>
    <w:p w14:paraId="572E0521" w14:textId="77777777" w:rsidR="00875E34" w:rsidRPr="00526DD6" w:rsidRDefault="00875E34" w:rsidP="00526DD6">
      <w:pPr>
        <w:spacing w:line="360" w:lineRule="auto"/>
        <w:ind w:firstLine="5103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B87B209" w14:textId="77777777" w:rsidR="00875E34" w:rsidRDefault="00875E34" w:rsidP="00875E34">
      <w:pPr>
        <w:spacing w:line="240" w:lineRule="auto"/>
        <w:ind w:firstLine="5103"/>
        <w:jc w:val="center"/>
        <w:rPr>
          <w:rFonts w:ascii="Arial" w:eastAsia="Times New Roman" w:hAnsi="Arial" w:cs="Arial"/>
          <w:noProof/>
          <w:lang w:eastAsia="pl-PL"/>
        </w:rPr>
      </w:pPr>
    </w:p>
    <w:p w14:paraId="3FC5BE17" w14:textId="77777777" w:rsidR="00875E34" w:rsidRDefault="00875E34" w:rsidP="00875E34">
      <w:pPr>
        <w:spacing w:line="240" w:lineRule="auto"/>
        <w:ind w:firstLine="5103"/>
        <w:jc w:val="center"/>
        <w:rPr>
          <w:rFonts w:ascii="Arial" w:eastAsia="Times New Roman" w:hAnsi="Arial" w:cs="Arial"/>
          <w:noProof/>
          <w:lang w:eastAsia="pl-PL"/>
        </w:rPr>
      </w:pPr>
    </w:p>
    <w:p w14:paraId="201A4263" w14:textId="77777777" w:rsidR="00875E34" w:rsidRPr="00875E34" w:rsidRDefault="00875E34" w:rsidP="00875E34">
      <w:pPr>
        <w:spacing w:line="240" w:lineRule="auto"/>
        <w:ind w:firstLine="5103"/>
        <w:jc w:val="center"/>
        <w:rPr>
          <w:rFonts w:ascii="Arial" w:eastAsia="Times New Roman" w:hAnsi="Arial" w:cs="Arial"/>
          <w:noProof/>
          <w:lang w:eastAsia="pl-PL"/>
        </w:rPr>
      </w:pPr>
    </w:p>
    <w:p w14:paraId="2A719520" w14:textId="77777777" w:rsidR="00784DE0" w:rsidRPr="005F4DA2" w:rsidRDefault="00784DE0" w:rsidP="006C1BF5">
      <w:pPr>
        <w:spacing w:line="240" w:lineRule="auto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sectPr w:rsidR="00784DE0" w:rsidRPr="005F4DA2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8402E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1D1D"/>
    <w:multiLevelType w:val="hybridMultilevel"/>
    <w:tmpl w:val="31E6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7DE1"/>
    <w:multiLevelType w:val="hybridMultilevel"/>
    <w:tmpl w:val="7E5ACA14"/>
    <w:lvl w:ilvl="0" w:tplc="FE44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E2B4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E07A4F"/>
    <w:multiLevelType w:val="hybridMultilevel"/>
    <w:tmpl w:val="05748C78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D6"/>
    <w:rsid w:val="000171EE"/>
    <w:rsid w:val="0007376F"/>
    <w:rsid w:val="000D39EC"/>
    <w:rsid w:val="00203251"/>
    <w:rsid w:val="00247ADE"/>
    <w:rsid w:val="00264924"/>
    <w:rsid w:val="00265419"/>
    <w:rsid w:val="00370A83"/>
    <w:rsid w:val="00395CAB"/>
    <w:rsid w:val="003A4C05"/>
    <w:rsid w:val="00406569"/>
    <w:rsid w:val="00522265"/>
    <w:rsid w:val="00526DD6"/>
    <w:rsid w:val="005560D8"/>
    <w:rsid w:val="005F00B7"/>
    <w:rsid w:val="005F4DA2"/>
    <w:rsid w:val="006328BE"/>
    <w:rsid w:val="0066262A"/>
    <w:rsid w:val="006C1BF5"/>
    <w:rsid w:val="006D48B0"/>
    <w:rsid w:val="006F1A1A"/>
    <w:rsid w:val="00735BAA"/>
    <w:rsid w:val="00784DE0"/>
    <w:rsid w:val="007E11D6"/>
    <w:rsid w:val="00801F78"/>
    <w:rsid w:val="00812E99"/>
    <w:rsid w:val="00831E9C"/>
    <w:rsid w:val="00875E34"/>
    <w:rsid w:val="008833CC"/>
    <w:rsid w:val="008A6EA7"/>
    <w:rsid w:val="008C0E5F"/>
    <w:rsid w:val="008D136B"/>
    <w:rsid w:val="008F6E6E"/>
    <w:rsid w:val="009353C3"/>
    <w:rsid w:val="00973F4E"/>
    <w:rsid w:val="00974149"/>
    <w:rsid w:val="009F4603"/>
    <w:rsid w:val="00AB2782"/>
    <w:rsid w:val="00AB76CC"/>
    <w:rsid w:val="00AD42DC"/>
    <w:rsid w:val="00AE405B"/>
    <w:rsid w:val="00AF3B39"/>
    <w:rsid w:val="00B52B33"/>
    <w:rsid w:val="00B92B84"/>
    <w:rsid w:val="00BA14D4"/>
    <w:rsid w:val="00BA5DEF"/>
    <w:rsid w:val="00BC5168"/>
    <w:rsid w:val="00BD05A9"/>
    <w:rsid w:val="00BE10DC"/>
    <w:rsid w:val="00C54E90"/>
    <w:rsid w:val="00CA760A"/>
    <w:rsid w:val="00CB2BD2"/>
    <w:rsid w:val="00CD758E"/>
    <w:rsid w:val="00D27E44"/>
    <w:rsid w:val="00D32D14"/>
    <w:rsid w:val="00D5448C"/>
    <w:rsid w:val="00D630C1"/>
    <w:rsid w:val="00DB3682"/>
    <w:rsid w:val="00DD164A"/>
    <w:rsid w:val="00DD32E5"/>
    <w:rsid w:val="00E23BA3"/>
    <w:rsid w:val="00ED3F28"/>
    <w:rsid w:val="00F14944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CBCA"/>
  <w15:chartTrackingRefBased/>
  <w15:docId w15:val="{518FF8C4-6C2E-4D8C-99A5-681F487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1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1D6"/>
    <w:pPr>
      <w:ind w:left="720"/>
      <w:contextualSpacing/>
    </w:pPr>
  </w:style>
  <w:style w:type="character" w:customStyle="1" w:styleId="Teksttreci2">
    <w:name w:val="Tekst treści (2)"/>
    <w:basedOn w:val="Domylnaczcionkaakapitu"/>
    <w:qFormat/>
    <w:rsid w:val="007E11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0E5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0E5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C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2022-01-14T07:53:00Z</cp:lastPrinted>
  <dcterms:created xsi:type="dcterms:W3CDTF">2022-02-15T10:42:00Z</dcterms:created>
  <dcterms:modified xsi:type="dcterms:W3CDTF">2022-02-15T10:42:00Z</dcterms:modified>
</cp:coreProperties>
</file>