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37D0" w14:textId="77777777" w:rsidR="00E26723" w:rsidRPr="00E26723" w:rsidRDefault="008756B7">
      <w:pPr>
        <w:jc w:val="center"/>
        <w:rPr>
          <w:rFonts w:ascii="Arial" w:eastAsia="Arial" w:hAnsi="Arial" w:cs="Arial"/>
          <w:b/>
          <w:bCs/>
          <w:caps/>
          <w:sz w:val="24"/>
        </w:rPr>
      </w:pPr>
      <w:r w:rsidRPr="00E26723">
        <w:rPr>
          <w:rFonts w:ascii="Arial" w:eastAsia="Arial" w:hAnsi="Arial" w:cs="Arial"/>
          <w:b/>
          <w:bCs/>
          <w:caps/>
          <w:sz w:val="24"/>
        </w:rPr>
        <w:t>Uchwała Nr XLV/563/21</w:t>
      </w:r>
      <w:r w:rsidRPr="00E26723">
        <w:rPr>
          <w:rFonts w:ascii="Arial" w:eastAsia="Arial" w:hAnsi="Arial" w:cs="Arial"/>
          <w:b/>
          <w:bCs/>
          <w:caps/>
          <w:sz w:val="24"/>
        </w:rPr>
        <w:br/>
      </w:r>
    </w:p>
    <w:p w14:paraId="754C1F2B" w14:textId="3CEAE8DE" w:rsidR="00A77B3E" w:rsidRPr="008756B7" w:rsidRDefault="00E26723">
      <w:pPr>
        <w:jc w:val="center"/>
        <w:rPr>
          <w:rFonts w:ascii="Arial" w:eastAsia="Arial" w:hAnsi="Arial" w:cs="Arial"/>
          <w:caps/>
          <w:sz w:val="24"/>
        </w:rPr>
      </w:pPr>
      <w:r w:rsidRPr="008756B7">
        <w:rPr>
          <w:rFonts w:ascii="Arial" w:eastAsia="Arial" w:hAnsi="Arial" w:cs="Arial"/>
          <w:sz w:val="24"/>
        </w:rPr>
        <w:t>Rady Miasta Piotrkowa Trybunalskiego</w:t>
      </w:r>
    </w:p>
    <w:p w14:paraId="0454A312" w14:textId="77777777" w:rsidR="00A77B3E" w:rsidRPr="00E26723" w:rsidRDefault="008756B7">
      <w:pPr>
        <w:spacing w:before="280" w:after="280"/>
        <w:jc w:val="center"/>
        <w:rPr>
          <w:rFonts w:ascii="Arial" w:eastAsia="Arial" w:hAnsi="Arial" w:cs="Arial"/>
          <w:b/>
          <w:bCs/>
          <w:caps/>
          <w:sz w:val="24"/>
        </w:rPr>
      </w:pPr>
      <w:r w:rsidRPr="00E26723">
        <w:rPr>
          <w:rFonts w:ascii="Arial" w:eastAsia="Arial" w:hAnsi="Arial" w:cs="Arial"/>
          <w:b/>
          <w:bCs/>
          <w:sz w:val="24"/>
        </w:rPr>
        <w:t>z dnia 24 listopada 2021 r.</w:t>
      </w:r>
    </w:p>
    <w:p w14:paraId="3E009320" w14:textId="2F532355" w:rsidR="00A77B3E" w:rsidRPr="008756B7" w:rsidRDefault="008756B7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8756B7">
        <w:rPr>
          <w:rFonts w:ascii="Arial" w:eastAsia="Arial" w:hAnsi="Arial" w:cs="Arial"/>
          <w:sz w:val="24"/>
        </w:rPr>
        <w:t>w sprawie organizacji wspólnej obsługi administracyjnej, finansowej i</w:t>
      </w:r>
      <w:r w:rsidR="00E26723">
        <w:rPr>
          <w:rFonts w:ascii="Arial" w:eastAsia="Arial" w:hAnsi="Arial" w:cs="Arial"/>
          <w:sz w:val="24"/>
        </w:rPr>
        <w:t xml:space="preserve">  </w:t>
      </w:r>
      <w:r w:rsidRPr="008756B7">
        <w:rPr>
          <w:rFonts w:ascii="Arial" w:eastAsia="Arial" w:hAnsi="Arial" w:cs="Arial"/>
          <w:sz w:val="24"/>
        </w:rPr>
        <w:t>organizacyjnej jednostek organizacyjnych instytucjonalnej pieczy zastępczej zaliczanych do sektora finansów publicznych, dla których organem prowadzącym jest Miasto</w:t>
      </w:r>
      <w:r w:rsidRPr="008756B7">
        <w:rPr>
          <w:rFonts w:ascii="Arial" w:eastAsia="Arial" w:hAnsi="Arial" w:cs="Arial"/>
          <w:sz w:val="24"/>
        </w:rPr>
        <w:br/>
        <w:t>Piotrków Trybunalski.</w:t>
      </w:r>
    </w:p>
    <w:p w14:paraId="37190532" w14:textId="389F8E35" w:rsidR="00A77B3E" w:rsidRPr="008756B7" w:rsidRDefault="008756B7" w:rsidP="00E26723">
      <w:pPr>
        <w:keepLines/>
        <w:spacing w:before="120" w:after="120" w:line="276" w:lineRule="auto"/>
        <w:ind w:firstLine="227"/>
        <w:jc w:val="left"/>
        <w:rPr>
          <w:rFonts w:ascii="Arial" w:hAnsi="Arial" w:cs="Arial"/>
          <w:sz w:val="24"/>
        </w:rPr>
      </w:pPr>
      <w:r w:rsidRPr="008756B7">
        <w:rPr>
          <w:rFonts w:ascii="Arial" w:hAnsi="Arial" w:cs="Arial"/>
          <w:sz w:val="24"/>
        </w:rPr>
        <w:t>Na podstawie art.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6a pkt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1, art.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6b ust.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2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oraz art.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12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pkt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11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ustawy z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sz w:val="24"/>
        </w:rPr>
        <w:t>dnia 5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czerwca 1998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roku o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samorządzie powiatowym (</w:t>
      </w:r>
      <w:proofErr w:type="spellStart"/>
      <w:r w:rsidRPr="008756B7">
        <w:rPr>
          <w:rFonts w:ascii="Arial" w:hAnsi="Arial" w:cs="Arial"/>
          <w:sz w:val="24"/>
        </w:rPr>
        <w:t>t.j</w:t>
      </w:r>
      <w:proofErr w:type="spellEnd"/>
      <w:r w:rsidRPr="008756B7">
        <w:rPr>
          <w:rFonts w:ascii="Arial" w:hAnsi="Arial" w:cs="Arial"/>
          <w:sz w:val="24"/>
        </w:rPr>
        <w:t>. Dz.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U. z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2020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r. poz.920, z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2021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r. poz.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1038, poz.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1834), uchwala się co następuje:</w:t>
      </w:r>
    </w:p>
    <w:p w14:paraId="55E92F72" w14:textId="57A1E14C" w:rsidR="00A77B3E" w:rsidRPr="008756B7" w:rsidRDefault="008756B7" w:rsidP="00E26723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§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1.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sz w:val="24"/>
        </w:rPr>
        <w:t>Zapewnia się wspólną obsługę administracyjną, finansową i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sz w:val="24"/>
        </w:rPr>
        <w:t>organizacyjną jednostek organizacyjnych instytucjonalnej pieczy zastępczej zaliczanych do sektora finansów publicznych, dla których organem prowadzącym jest Miasto Piotrków Trybunalski.</w:t>
      </w:r>
    </w:p>
    <w:p w14:paraId="6DCE11E9" w14:textId="3B0205B6" w:rsidR="00A77B3E" w:rsidRPr="008756B7" w:rsidRDefault="008756B7" w:rsidP="00E2672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2.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color w:val="000000"/>
          <w:sz w:val="24"/>
          <w:u w:color="000000"/>
        </w:rPr>
        <w:t>Jednostką organizacyjną obsługującą jest Pogotowie Opiekuńcze w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Piotrkowie Trybunalskim.</w:t>
      </w:r>
    </w:p>
    <w:p w14:paraId="15920E42" w14:textId="784CF3B4" w:rsidR="00A77B3E" w:rsidRPr="008756B7" w:rsidRDefault="008756B7" w:rsidP="00E2672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3.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color w:val="000000"/>
          <w:sz w:val="24"/>
          <w:u w:color="000000"/>
        </w:rPr>
        <w:t>Jednostką organizacyjną obsługiwaną jest Placówka Opiekuńczo-Wychowawcza Mieszkanie.</w:t>
      </w:r>
    </w:p>
    <w:p w14:paraId="1F39C223" w14:textId="7537DE01" w:rsidR="00A77B3E" w:rsidRPr="008756B7" w:rsidRDefault="008756B7" w:rsidP="00E26723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§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2.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color w:val="000000"/>
          <w:sz w:val="24"/>
          <w:u w:color="000000"/>
        </w:rPr>
        <w:t>Do zakresu obowiązków powierzonych jednostce obsługującej w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ramach wspólnej obsługi należy:</w:t>
      </w:r>
    </w:p>
    <w:p w14:paraId="05D9691F" w14:textId="15956EC5" w:rsidR="00A77B3E" w:rsidRPr="008756B7" w:rsidRDefault="008756B7" w:rsidP="00E2672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1.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W zakresie obsługi finansowo-księgowej:</w:t>
      </w:r>
    </w:p>
    <w:p w14:paraId="00A28AC7" w14:textId="15B7BB69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prowadzenie obsługi rachunków bankowych;</w:t>
      </w:r>
    </w:p>
    <w:p w14:paraId="76B2B6D4" w14:textId="660FB6BD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2)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prowadzenie kasy;</w:t>
      </w:r>
    </w:p>
    <w:p w14:paraId="411CC83F" w14:textId="1FEB6D27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3)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bieżący nadzór nad  realizacją planu finansowego;</w:t>
      </w:r>
    </w:p>
    <w:p w14:paraId="083AE731" w14:textId="7798BC60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4)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bieżąca informacja o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sytuacji finansowej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realizacji budżetu;</w:t>
      </w:r>
    </w:p>
    <w:p w14:paraId="56C3EF28" w14:textId="715E302B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5)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sporządzanie list wynagrodzeń pracowników jednostki obsługiwanej;</w:t>
      </w:r>
    </w:p>
    <w:p w14:paraId="35BABFC0" w14:textId="21C3F76E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6)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dokonywanie wypłat wynagrodzeń oraz naliczanie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odprowadzanie związanych z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tym świadczeń obligatoryjnych na rzecz ZUS, US, itp.;</w:t>
      </w:r>
    </w:p>
    <w:p w14:paraId="585B0A01" w14:textId="5A056213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7)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ewidencjonowanie danych o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zatrudnieniu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wynagrodzeniu;</w:t>
      </w:r>
    </w:p>
    <w:p w14:paraId="379BBFBA" w14:textId="60AB8ED5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8)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sporządzanie sprawozdań budżetowych, sprawozdań  z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zakresu operacji finansowych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innych wymaganych przepisami prawa;</w:t>
      </w:r>
    </w:p>
    <w:p w14:paraId="6D17039B" w14:textId="17BF117C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9)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przygotowywanie danych do sporządzania przez placówki kwartalnych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rocznych sprawozdań GUS;</w:t>
      </w:r>
    </w:p>
    <w:p w14:paraId="26F244A0" w14:textId="7FFE4D7C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10)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prowadzenie obsługi finansowo-księgowej Zakładowych Funduszy Świadczeń Socjalnych;</w:t>
      </w:r>
    </w:p>
    <w:p w14:paraId="373F7695" w14:textId="5356DFD8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11)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określanie zasad (polityki) rachunkowości;</w:t>
      </w:r>
    </w:p>
    <w:p w14:paraId="18B4FE69" w14:textId="0903C659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lastRenderedPageBreak/>
        <w:t>12)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przeprowadzanie inwentaryzacji aktywów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pasywów za wyjątkiem inwentaryzacji metodą spisu z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natury;</w:t>
      </w:r>
    </w:p>
    <w:p w14:paraId="7290B22C" w14:textId="6594CEF8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13)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prowadzenie, na podstawie dowodów księgowych, ksiąg rachunkowych oraz ewidencji wartościowych składników majątkowych;</w:t>
      </w:r>
    </w:p>
    <w:p w14:paraId="34102C62" w14:textId="7F06E5E4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14)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gromadzenie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przechowywanie dowodów księgowych oraz pozostałej dokumentacji przewidzianej ustawą;</w:t>
      </w:r>
    </w:p>
    <w:p w14:paraId="6B8382BE" w14:textId="4A729C99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15)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prowadzenie ewidencji gruntów i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środków trwałych.</w:t>
      </w:r>
    </w:p>
    <w:p w14:paraId="2F3B9661" w14:textId="39FFFCBA" w:rsidR="00A77B3E" w:rsidRPr="008756B7" w:rsidRDefault="008756B7" w:rsidP="00E26723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2.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W zakresie obsługi administracyjno-organizacyjnej:</w:t>
      </w:r>
    </w:p>
    <w:p w14:paraId="1C04DBAF" w14:textId="11076C11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1)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prowadzenie akt osobowych pracowników;</w:t>
      </w:r>
    </w:p>
    <w:p w14:paraId="016C9741" w14:textId="22F80C0E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2)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nadzór nad zarządzaniem majątkiem;</w:t>
      </w:r>
    </w:p>
    <w:p w14:paraId="3DF34173" w14:textId="3C0B61E1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3)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przeglądy techniczne, w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tym wynikające z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przepisów prawa budowlanego, budynków obsługiwanej placówki;</w:t>
      </w:r>
    </w:p>
    <w:p w14:paraId="3822B265" w14:textId="50844566" w:rsidR="00A77B3E" w:rsidRPr="008756B7" w:rsidRDefault="008756B7" w:rsidP="00E26723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4)</w:t>
      </w:r>
      <w:r w:rsidR="00E26723">
        <w:rPr>
          <w:rFonts w:ascii="Arial" w:hAnsi="Arial" w:cs="Arial"/>
          <w:sz w:val="24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ab/>
        <w:t>zapewnienie świadczenia pomocy prawnej.</w:t>
      </w:r>
    </w:p>
    <w:p w14:paraId="262294ED" w14:textId="4FD8133A" w:rsidR="00A77B3E" w:rsidRPr="008756B7" w:rsidRDefault="008756B7" w:rsidP="00E26723">
      <w:pPr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§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3.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17B7FF79" w14:textId="3DC87FB5" w:rsidR="00A77B3E" w:rsidRPr="008756B7" w:rsidRDefault="008756B7" w:rsidP="00E26723">
      <w:pPr>
        <w:keepNext/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8756B7">
        <w:rPr>
          <w:rFonts w:ascii="Arial" w:hAnsi="Arial" w:cs="Arial"/>
          <w:sz w:val="24"/>
        </w:rPr>
        <w:t>§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sz w:val="24"/>
        </w:rPr>
        <w:t>4.</w:t>
      </w:r>
      <w:r w:rsidR="00E26723">
        <w:rPr>
          <w:rFonts w:ascii="Arial" w:hAnsi="Arial" w:cs="Arial"/>
          <w:sz w:val="24"/>
        </w:rPr>
        <w:t xml:space="preserve"> </w:t>
      </w:r>
      <w:r w:rsidRPr="008756B7">
        <w:rPr>
          <w:rFonts w:ascii="Arial" w:hAnsi="Arial" w:cs="Arial"/>
          <w:color w:val="000000"/>
          <w:sz w:val="24"/>
          <w:u w:color="000000"/>
        </w:rPr>
        <w:t>Uchwała  wchodzi w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życie po upływie 14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dni od dnia opublikowania w</w:t>
      </w:r>
      <w:r w:rsidR="00E26723">
        <w:rPr>
          <w:rFonts w:ascii="Arial" w:hAnsi="Arial" w:cs="Arial"/>
          <w:color w:val="000000"/>
          <w:sz w:val="24"/>
          <w:u w:color="000000"/>
        </w:rPr>
        <w:t xml:space="preserve">  </w:t>
      </w:r>
      <w:r w:rsidRPr="008756B7">
        <w:rPr>
          <w:rFonts w:ascii="Arial" w:hAnsi="Arial" w:cs="Arial"/>
          <w:color w:val="000000"/>
          <w:sz w:val="24"/>
          <w:u w:color="000000"/>
        </w:rPr>
        <w:t>Dzienniku Urzędowym Województwa Łódzkiego.</w:t>
      </w:r>
    </w:p>
    <w:p w14:paraId="08D0815A" w14:textId="77777777" w:rsidR="00A77B3E" w:rsidRPr="008756B7" w:rsidRDefault="00A77B3E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</w:p>
    <w:p w14:paraId="41FF1C9B" w14:textId="6D0D551C" w:rsidR="00A77B3E" w:rsidRPr="008756B7" w:rsidRDefault="00E26723">
      <w:pPr>
        <w:keepNext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0250E" w:rsidRPr="008756B7" w14:paraId="751F67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94803" w14:textId="77777777" w:rsidR="0010250E" w:rsidRPr="008756B7" w:rsidRDefault="0010250E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B2475" w14:textId="77777777" w:rsidR="00E26723" w:rsidRDefault="00E26723" w:rsidP="00E26723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Przewodniczący</w:t>
            </w:r>
          </w:p>
          <w:p w14:paraId="19526B55" w14:textId="77777777" w:rsidR="00E26723" w:rsidRDefault="00E26723" w:rsidP="00E26723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Rady Miasta</w:t>
            </w:r>
          </w:p>
          <w:p w14:paraId="09EC52A8" w14:textId="77777777" w:rsidR="00E26723" w:rsidRDefault="00E26723" w:rsidP="00E26723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Marian Błaszczyński</w:t>
            </w:r>
          </w:p>
          <w:p w14:paraId="4A2BA20A" w14:textId="77777777" w:rsidR="00E26723" w:rsidRDefault="00E26723" w:rsidP="00E26723">
            <w:pPr>
              <w:ind w:left="306"/>
              <w:jc w:val="center"/>
              <w:rPr>
                <w:rFonts w:ascii="Arial" w:hAnsi="Arial" w:cs="Arial"/>
                <w:sz w:val="24"/>
              </w:rPr>
            </w:pPr>
          </w:p>
          <w:p w14:paraId="06F43D84" w14:textId="77777777" w:rsidR="00E26723" w:rsidRDefault="00E26723" w:rsidP="00E26723">
            <w:pPr>
              <w:ind w:left="306"/>
              <w:jc w:val="center"/>
            </w:pPr>
            <w:r>
              <w:t>Dokument podpisany kwalifikowanym podpisem elektronicznym</w:t>
            </w:r>
          </w:p>
          <w:p w14:paraId="604C95E5" w14:textId="3A30A519" w:rsidR="0010250E" w:rsidRPr="008756B7" w:rsidRDefault="0010250E" w:rsidP="00E26723">
            <w:pPr>
              <w:keepNext/>
              <w:keepLines/>
              <w:spacing w:before="560" w:after="560"/>
              <w:ind w:left="306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50CAF181" w14:textId="77777777" w:rsidR="00A77B3E" w:rsidRPr="008756B7" w:rsidRDefault="00A77B3E">
      <w:pPr>
        <w:keepNext/>
        <w:rPr>
          <w:rFonts w:ascii="Arial" w:hAnsi="Arial" w:cs="Arial"/>
          <w:color w:val="000000"/>
          <w:sz w:val="24"/>
          <w:u w:color="000000"/>
        </w:rPr>
      </w:pPr>
    </w:p>
    <w:sectPr w:rsidR="00A77B3E" w:rsidRPr="008756B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DBFC" w14:textId="77777777" w:rsidR="00D906AE" w:rsidRDefault="008756B7">
      <w:r>
        <w:separator/>
      </w:r>
    </w:p>
  </w:endnote>
  <w:endnote w:type="continuationSeparator" w:id="0">
    <w:p w14:paraId="7FEB741E" w14:textId="77777777" w:rsidR="00D906AE" w:rsidRDefault="0087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250E" w14:paraId="288B996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B42631" w14:textId="77777777" w:rsidR="0010250E" w:rsidRDefault="008756B7">
          <w:pPr>
            <w:jc w:val="left"/>
            <w:rPr>
              <w:sz w:val="18"/>
            </w:rPr>
          </w:pPr>
          <w:r>
            <w:rPr>
              <w:sz w:val="18"/>
            </w:rPr>
            <w:t>Id: 70D21C23-677F-4F3C-B377-623295716C86.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2A0842" w14:textId="77777777" w:rsidR="0010250E" w:rsidRDefault="00875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87EA12" w14:textId="77777777" w:rsidR="0010250E" w:rsidRDefault="001025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B782" w14:textId="77777777" w:rsidR="00D906AE" w:rsidRDefault="008756B7">
      <w:r>
        <w:separator/>
      </w:r>
    </w:p>
  </w:footnote>
  <w:footnote w:type="continuationSeparator" w:id="0">
    <w:p w14:paraId="64B7A753" w14:textId="77777777" w:rsidR="00D906AE" w:rsidRDefault="0087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50E"/>
    <w:rsid w:val="008756B7"/>
    <w:rsid w:val="00A77B3E"/>
    <w:rsid w:val="00CA2A55"/>
    <w:rsid w:val="00D906AE"/>
    <w:rsid w:val="00E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89106"/>
  <w15:docId w15:val="{5E25FE44-BDD1-468D-AD41-88F9DAC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XLV/563/21 z dnia 24 listopada 2021 r.</dc:title>
  <dc:subject>w sprawie organizacji wspólnej obsługi administracyjnej, finansowej i^organizacyjnej jednostek organizacyjnych instytucjonalnej pieczy zastępczej zaliczanych do sektora finansów publicznych, dla których organem prowadzącym jest Miasto 
Piotrków Trybunalski.</dc:subject>
  <dc:creator>Mroz_M</dc:creator>
  <cp:lastModifiedBy>Jarzębska Monika</cp:lastModifiedBy>
  <cp:revision>2</cp:revision>
  <dcterms:created xsi:type="dcterms:W3CDTF">2021-12-02T07:47:00Z</dcterms:created>
  <dcterms:modified xsi:type="dcterms:W3CDTF">2021-12-02T07:47:00Z</dcterms:modified>
  <cp:category>Akt prawny</cp:category>
</cp:coreProperties>
</file>