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0FC" w14:textId="77777777" w:rsidR="00AB4ED3" w:rsidRPr="00AB4ED3" w:rsidRDefault="00AB4ED3" w:rsidP="00AB4E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AB4E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.25.11.2021 r.</w:t>
      </w:r>
    </w:p>
    <w:p w14:paraId="7BF3322E" w14:textId="77777777" w:rsidR="007E11D6" w:rsidRPr="00AB4ED3" w:rsidRDefault="007E11D6" w:rsidP="00AB4E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sz w:val="24"/>
          <w:szCs w:val="24"/>
          <w:lang w:eastAsia="pl-PL"/>
        </w:rPr>
        <w:t>Komisja Ad</w:t>
      </w:r>
      <w:r w:rsidR="00AB4ED3" w:rsidRPr="00AB4ED3">
        <w:rPr>
          <w:rFonts w:ascii="Arial" w:eastAsia="Times New Roman" w:hAnsi="Arial" w:cs="Arial"/>
          <w:sz w:val="24"/>
          <w:szCs w:val="24"/>
          <w:lang w:eastAsia="pl-PL"/>
        </w:rPr>
        <w:t xml:space="preserve">ministracji, Bezpieczeństwa </w:t>
      </w:r>
      <w:r w:rsidRPr="00AB4ED3">
        <w:rPr>
          <w:rFonts w:ascii="Arial" w:eastAsia="Times New Roman" w:hAnsi="Arial" w:cs="Arial"/>
          <w:sz w:val="24"/>
          <w:szCs w:val="24"/>
          <w:lang w:eastAsia="pl-PL"/>
        </w:rPr>
        <w:t xml:space="preserve"> Publicznego i Inwentaryzacji </w:t>
      </w:r>
    </w:p>
    <w:p w14:paraId="3BD8F85C" w14:textId="77777777" w:rsidR="007E11D6" w:rsidRDefault="007E11D6" w:rsidP="00AB4E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="00AB4ED3" w:rsidRPr="00AB4E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B4ED3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0DBCBFC3" w14:textId="77777777" w:rsidR="00AB4ED3" w:rsidRPr="00AB4ED3" w:rsidRDefault="00AB4ED3" w:rsidP="00AB4ED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D154341" w14:textId="77777777" w:rsidR="000171EE" w:rsidRDefault="00AB4ED3" w:rsidP="00AB4ED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7E11D6" w:rsidRPr="00AB4E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</w:t>
      </w:r>
      <w:r w:rsidR="00D630C1" w:rsidRPr="00AB4E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</w:t>
      </w:r>
      <w:r w:rsidR="007E11D6" w:rsidRPr="00AB4E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.2021</w:t>
      </w:r>
    </w:p>
    <w:p w14:paraId="53C1DCEB" w14:textId="77777777" w:rsidR="00AB4ED3" w:rsidRPr="00AB4ED3" w:rsidRDefault="00AB4ED3" w:rsidP="00AB4ED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F450813" w14:textId="77777777" w:rsidR="007E11D6" w:rsidRPr="00AB4ED3" w:rsidRDefault="007E11D6" w:rsidP="00AB4ED3">
      <w:p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</w:t>
      </w:r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2 marca 2020 r. o szczególnych rozwiązaniach związanych z zapobieganiem, przeciwdziałaniem i zwalczaniem COVID-19, innych chorób zakaźnych oraz wywołanych nimi sytuacji kryzysowych </w:t>
      </w:r>
      <w:r w:rsidR="005560D8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(</w:t>
      </w:r>
      <w:proofErr w:type="spellStart"/>
      <w:r w:rsidR="009F4603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t.j</w:t>
      </w:r>
      <w:proofErr w:type="spellEnd"/>
      <w:r w:rsidR="009F4603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Dz. U. z 2021 r. poz. 2095</w:t>
      </w:r>
      <w:r w:rsidR="005F00B7" w:rsidRPr="00AB4E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AB4ED3">
        <w:rPr>
          <w:rStyle w:val="Teksttreci2"/>
          <w:rFonts w:ascii="Arial" w:eastAsiaTheme="minorHAnsi" w:hAnsi="Arial" w:cs="Arial"/>
          <w:color w:val="000000" w:themeColor="text1"/>
        </w:rPr>
        <w:t xml:space="preserve">  </w:t>
      </w:r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AB4ED3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630C1" w:rsidRPr="00AB4ED3">
        <w:rPr>
          <w:rFonts w:ascii="Arial" w:hAnsi="Arial" w:cs="Arial"/>
          <w:color w:val="000000" w:themeColor="text1"/>
          <w:sz w:val="24"/>
          <w:szCs w:val="24"/>
        </w:rPr>
        <w:t>3 grudnia</w:t>
      </w:r>
      <w:r w:rsidRPr="00AB4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30C1" w:rsidRPr="00AB4ED3">
        <w:rPr>
          <w:rFonts w:ascii="Arial" w:hAnsi="Arial" w:cs="Arial"/>
          <w:color w:val="000000" w:themeColor="text1"/>
          <w:sz w:val="24"/>
          <w:szCs w:val="24"/>
        </w:rPr>
        <w:t>(piątek</w:t>
      </w:r>
      <w:r w:rsidRPr="00AB4ED3">
        <w:rPr>
          <w:rFonts w:ascii="Arial" w:hAnsi="Arial" w:cs="Arial"/>
          <w:color w:val="000000" w:themeColor="text1"/>
          <w:sz w:val="24"/>
          <w:szCs w:val="24"/>
        </w:rPr>
        <w:t xml:space="preserve">) 2021 r. o </w:t>
      </w:r>
      <w:r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AB76CC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630C1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13.00</w:t>
      </w:r>
      <w:r w:rsidR="00AB4ED3" w:rsidRPr="00AB4ED3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AB4ED3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14:paraId="26539F8A" w14:textId="77777777" w:rsidR="007E11D6" w:rsidRPr="00AB4ED3" w:rsidRDefault="007E11D6" w:rsidP="00AB4ED3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AF3B39"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sowań od dnia </w:t>
      </w:r>
      <w:r w:rsidR="00D630C1"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25 listopada </w:t>
      </w: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2021 r., za po</w:t>
      </w:r>
      <w:r w:rsid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711C346A" w14:textId="77777777" w:rsidR="007E11D6" w:rsidRPr="00AB4ED3" w:rsidRDefault="007E11D6" w:rsidP="00AB4ED3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Imienne wykazy głosowań po wypełnieniu należy złożyć do dnia </w:t>
      </w:r>
      <w:r w:rsidR="00D630C1"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 grudnia</w:t>
      </w: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D630C1"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3 grudnia </w:t>
      </w:r>
      <w:r w:rsidRPr="00AB4ED3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r., zwołanej w trybie korespondencyjnym. </w:t>
      </w:r>
    </w:p>
    <w:p w14:paraId="6213CB0E" w14:textId="77777777" w:rsidR="007E11D6" w:rsidRPr="00AB4ED3" w:rsidRDefault="007E11D6" w:rsidP="00AB4ED3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2C61BE5D" w14:textId="77777777" w:rsidR="007E11D6" w:rsidRPr="00AB4ED3" w:rsidRDefault="007E11D6" w:rsidP="00AB4ED3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3CD0CD4D" w14:textId="77777777" w:rsidR="00D630C1" w:rsidRPr="00AB4ED3" w:rsidRDefault="00D630C1" w:rsidP="00AB4ED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Zaopiniowanie projektu uchwały w sprawie przyjęcia Wieloletniej Prognozy Finansowej Miasta Piotr</w:t>
      </w:r>
      <w:r w:rsidR="00264924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kowa Trybunalskiego na lata 2022-2044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 </w:t>
      </w:r>
    </w:p>
    <w:p w14:paraId="3160E2CF" w14:textId="77777777" w:rsidR="00D630C1" w:rsidRPr="00AB4ED3" w:rsidRDefault="00D630C1" w:rsidP="00AB4ED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Zaopiniowanie projektu uchwały w sprawie </w:t>
      </w:r>
      <w:r w:rsidRPr="00AB4ED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uchwały budżetowej miasta na </w:t>
      </w:r>
      <w:r w:rsidRPr="00AB4ED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</w:r>
      <w:r w:rsidR="00264924" w:rsidRPr="00AB4ED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2022</w:t>
      </w:r>
      <w:r w:rsidRPr="00AB4ED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 rok w następujących działach:</w:t>
      </w:r>
    </w:p>
    <w:p w14:paraId="6CE9DEE3" w14:textId="77777777" w:rsidR="00D630C1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dział 600 – Transport i łączność,</w:t>
      </w:r>
    </w:p>
    <w:p w14:paraId="63189370" w14:textId="77777777" w:rsidR="00D630C1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dział 750 – Administracja publiczna,</w:t>
      </w:r>
    </w:p>
    <w:p w14:paraId="40DD1BF6" w14:textId="77777777" w:rsidR="00D630C1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dział 751 – Urzędy naczelnych organów wład</w:t>
      </w:r>
      <w:r w:rsidR="00BA5DEF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zy państwowej, kontroli </w:t>
      </w:r>
      <w:r w:rsidR="00BA5DEF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i ochro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ny prawa oraz sądownictwa,</w:t>
      </w:r>
    </w:p>
    <w:p w14:paraId="7D8671E6" w14:textId="77777777" w:rsidR="00D630C1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dział 754 – </w:t>
      </w:r>
      <w:r w:rsidR="0007376F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Bezpieczeństwo publiczne i ochro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na przeciwpożarowa,</w:t>
      </w:r>
    </w:p>
    <w:p w14:paraId="29CC73FA" w14:textId="77777777" w:rsidR="00D630C1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dział 9</w:t>
      </w:r>
      <w:r w:rsidR="00BA5DEF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00 - Gospodarka komunalna i och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r</w:t>
      </w:r>
      <w:r w:rsidR="00BA5DEF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o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na środowiska,</w:t>
      </w:r>
    </w:p>
    <w:p w14:paraId="2389F532" w14:textId="77777777" w:rsidR="00AB4ED3" w:rsidRPr="00AB4ED3" w:rsidRDefault="00D630C1" w:rsidP="00AB4ED3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plan wydatków jednostek pomocniczych</w:t>
      </w:r>
      <w:r w:rsidR="00AB4ED3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14:paraId="7E903B8E" w14:textId="77777777" w:rsidR="00AB4ED3" w:rsidRPr="00AB4ED3" w:rsidRDefault="00AB4ED3" w:rsidP="00AB4ED3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E499FDB" w14:textId="77777777" w:rsidR="006C1BF5" w:rsidRPr="00AB4ED3" w:rsidRDefault="00D630C1" w:rsidP="00AB4ED3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>Wiceprzewodniczący</w:t>
      </w:r>
      <w:r w:rsidR="00DD164A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  <w:r w:rsidR="00AB4ED3"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</w:t>
      </w:r>
      <w:r w:rsidRPr="00AB4E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Bogumił Pęcina</w:t>
      </w:r>
    </w:p>
    <w:p w14:paraId="69869CB3" w14:textId="77777777" w:rsidR="00264924" w:rsidRPr="00AB4ED3" w:rsidRDefault="00264924" w:rsidP="00AB4ED3">
      <w:pPr>
        <w:spacing w:line="360" w:lineRule="auto"/>
        <w:ind w:firstLine="5103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C3680E0" w14:textId="77777777" w:rsidR="00784DE0" w:rsidRPr="00264924" w:rsidRDefault="00784DE0" w:rsidP="006C1BF5">
      <w:pPr>
        <w:spacing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sectPr w:rsidR="00784DE0" w:rsidRPr="00264924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E07A4F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E47"/>
    <w:multiLevelType w:val="hybridMultilevel"/>
    <w:tmpl w:val="A62A453E"/>
    <w:lvl w:ilvl="0" w:tplc="C840F8F6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6"/>
    <w:rsid w:val="000171EE"/>
    <w:rsid w:val="0007376F"/>
    <w:rsid w:val="00203251"/>
    <w:rsid w:val="00247ADE"/>
    <w:rsid w:val="00264924"/>
    <w:rsid w:val="00395CAB"/>
    <w:rsid w:val="003A4C05"/>
    <w:rsid w:val="00522265"/>
    <w:rsid w:val="005560D8"/>
    <w:rsid w:val="005F00B7"/>
    <w:rsid w:val="006C1BF5"/>
    <w:rsid w:val="00735BAA"/>
    <w:rsid w:val="00784DE0"/>
    <w:rsid w:val="007E11D6"/>
    <w:rsid w:val="007E3792"/>
    <w:rsid w:val="00801F78"/>
    <w:rsid w:val="008C0E5F"/>
    <w:rsid w:val="008F6E6E"/>
    <w:rsid w:val="00974149"/>
    <w:rsid w:val="009F4603"/>
    <w:rsid w:val="00AB4ED3"/>
    <w:rsid w:val="00AB76CC"/>
    <w:rsid w:val="00AF3B39"/>
    <w:rsid w:val="00B92B84"/>
    <w:rsid w:val="00BA5DEF"/>
    <w:rsid w:val="00BE10DC"/>
    <w:rsid w:val="00C54E90"/>
    <w:rsid w:val="00CA760A"/>
    <w:rsid w:val="00CB2BD2"/>
    <w:rsid w:val="00CD758E"/>
    <w:rsid w:val="00D27E44"/>
    <w:rsid w:val="00D630C1"/>
    <w:rsid w:val="00DD164A"/>
    <w:rsid w:val="00D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1ACC"/>
  <w15:chartTrackingRefBased/>
  <w15:docId w15:val="{518FF8C4-6C2E-4D8C-99A5-681F48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D6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7E1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E5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E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2021-11-25T11:35:00Z</cp:lastPrinted>
  <dcterms:created xsi:type="dcterms:W3CDTF">2021-11-25T14:11:00Z</dcterms:created>
  <dcterms:modified xsi:type="dcterms:W3CDTF">2021-11-25T14:11:00Z</dcterms:modified>
</cp:coreProperties>
</file>