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3CEF3" w14:textId="77777777" w:rsidR="00A77B3E" w:rsidRPr="007A2787" w:rsidRDefault="007A2787" w:rsidP="007A2787">
      <w:pPr>
        <w:spacing w:line="276" w:lineRule="auto"/>
        <w:jc w:val="center"/>
        <w:rPr>
          <w:rFonts w:ascii="Arial" w:hAnsi="Arial" w:cs="Arial"/>
          <w:b/>
          <w:caps/>
          <w:sz w:val="24"/>
        </w:rPr>
      </w:pPr>
      <w:r w:rsidRPr="007A2787">
        <w:rPr>
          <w:rFonts w:ascii="Arial" w:hAnsi="Arial" w:cs="Arial"/>
          <w:b/>
          <w:caps/>
          <w:sz w:val="24"/>
        </w:rPr>
        <w:t>Uchwała Nr XLIII/543/21</w:t>
      </w:r>
      <w:r w:rsidRPr="007A2787">
        <w:rPr>
          <w:rFonts w:ascii="Arial" w:hAnsi="Arial" w:cs="Arial"/>
          <w:b/>
          <w:caps/>
          <w:sz w:val="24"/>
        </w:rPr>
        <w:br/>
        <w:t>Rady Miasta Piotrkowa Trybunalskiego</w:t>
      </w:r>
    </w:p>
    <w:p w14:paraId="6716FADF" w14:textId="77777777" w:rsidR="00A77B3E" w:rsidRPr="007A2787" w:rsidRDefault="007A2787" w:rsidP="007A2787">
      <w:pPr>
        <w:spacing w:before="280" w:after="280" w:line="276" w:lineRule="auto"/>
        <w:jc w:val="center"/>
        <w:rPr>
          <w:rFonts w:ascii="Arial" w:hAnsi="Arial" w:cs="Arial"/>
          <w:b/>
          <w:caps/>
          <w:sz w:val="24"/>
        </w:rPr>
      </w:pPr>
      <w:r w:rsidRPr="007A2787">
        <w:rPr>
          <w:rFonts w:ascii="Arial" w:hAnsi="Arial" w:cs="Arial"/>
          <w:sz w:val="24"/>
        </w:rPr>
        <w:t>z dnia 29 września 2021 r.</w:t>
      </w:r>
    </w:p>
    <w:p w14:paraId="77A3187F" w14:textId="77777777" w:rsidR="00A77B3E" w:rsidRPr="007A2787" w:rsidRDefault="007A2787" w:rsidP="007A2787">
      <w:pPr>
        <w:keepNext/>
        <w:spacing w:after="480" w:line="276" w:lineRule="auto"/>
        <w:jc w:val="center"/>
        <w:rPr>
          <w:rFonts w:ascii="Arial" w:hAnsi="Arial" w:cs="Arial"/>
          <w:sz w:val="24"/>
        </w:rPr>
      </w:pPr>
      <w:r w:rsidRPr="007A2787">
        <w:rPr>
          <w:rFonts w:ascii="Arial" w:hAnsi="Arial" w:cs="Arial"/>
          <w:b/>
          <w:sz w:val="24"/>
        </w:rPr>
        <w:t>w sprawie miejscowego planu zagospodarowania przestrzennego w rejonie ulicy Życzliwej oraz rzeki Wierzejki w Piotrkowie Trybunalskim</w:t>
      </w:r>
    </w:p>
    <w:p w14:paraId="46EFB806" w14:textId="4538D812" w:rsidR="00A77B3E" w:rsidRPr="007A2787" w:rsidRDefault="007A2787" w:rsidP="007A2787">
      <w:pPr>
        <w:keepLines/>
        <w:spacing w:before="120" w:after="120" w:line="276" w:lineRule="auto"/>
        <w:ind w:firstLine="227"/>
        <w:rPr>
          <w:rFonts w:ascii="Arial" w:hAnsi="Arial" w:cs="Arial"/>
          <w:sz w:val="24"/>
        </w:rPr>
      </w:pPr>
      <w:r w:rsidRPr="007A2787">
        <w:rPr>
          <w:rFonts w:ascii="Arial" w:hAnsi="Arial" w:cs="Arial"/>
          <w:sz w:val="24"/>
        </w:rPr>
        <w:t>Na podstawie art. 20 ust. 1 i </w:t>
      </w:r>
      <w:r w:rsidRPr="007A2787">
        <w:rPr>
          <w:rFonts w:ascii="Arial" w:hAnsi="Arial" w:cs="Arial"/>
          <w:sz w:val="24"/>
        </w:rPr>
        <w:t>art. 29 ustawy z dnia 27 marca 2003</w:t>
      </w:r>
      <w:r>
        <w:rPr>
          <w:rFonts w:ascii="Arial" w:hAnsi="Arial" w:cs="Arial"/>
          <w:sz w:val="24"/>
        </w:rPr>
        <w:t xml:space="preserve"> </w:t>
      </w:r>
      <w:r w:rsidRPr="007A2787">
        <w:rPr>
          <w:rFonts w:ascii="Arial" w:hAnsi="Arial" w:cs="Arial"/>
          <w:sz w:val="24"/>
        </w:rPr>
        <w:t>r. o</w:t>
      </w:r>
      <w:r>
        <w:rPr>
          <w:rFonts w:ascii="Arial" w:hAnsi="Arial" w:cs="Arial"/>
          <w:sz w:val="24"/>
        </w:rPr>
        <w:t xml:space="preserve"> </w:t>
      </w:r>
      <w:r w:rsidRPr="007A2787">
        <w:rPr>
          <w:rFonts w:ascii="Arial" w:hAnsi="Arial" w:cs="Arial"/>
          <w:sz w:val="24"/>
        </w:rPr>
        <w:t xml:space="preserve">planowaniu </w:t>
      </w:r>
      <w:r>
        <w:rPr>
          <w:rFonts w:ascii="Arial" w:hAnsi="Arial" w:cs="Arial"/>
          <w:sz w:val="24"/>
        </w:rPr>
        <w:br/>
      </w:r>
      <w:r w:rsidRPr="007A2787">
        <w:rPr>
          <w:rFonts w:ascii="Arial" w:hAnsi="Arial" w:cs="Arial"/>
          <w:sz w:val="24"/>
        </w:rPr>
        <w:t>i</w:t>
      </w:r>
      <w:r>
        <w:rPr>
          <w:rFonts w:ascii="Arial" w:hAnsi="Arial" w:cs="Arial"/>
          <w:sz w:val="24"/>
        </w:rPr>
        <w:t xml:space="preserve"> </w:t>
      </w:r>
      <w:r w:rsidRPr="007A2787">
        <w:rPr>
          <w:rFonts w:ascii="Arial" w:hAnsi="Arial" w:cs="Arial"/>
          <w:sz w:val="24"/>
        </w:rPr>
        <w:t>zagospodarowaniu przestrzennym (tj. Dz. U. z 2021 r., poz. 741, 784, 922), uchwala się co następuje:</w:t>
      </w:r>
    </w:p>
    <w:p w14:paraId="757389A1" w14:textId="77777777" w:rsidR="00A77B3E" w:rsidRPr="007A2787" w:rsidRDefault="007A2787" w:rsidP="007A2787">
      <w:pPr>
        <w:keepNext/>
        <w:keepLines/>
        <w:spacing w:line="276" w:lineRule="auto"/>
        <w:jc w:val="center"/>
        <w:rPr>
          <w:rFonts w:ascii="Arial" w:hAnsi="Arial" w:cs="Arial"/>
          <w:sz w:val="24"/>
        </w:rPr>
      </w:pPr>
      <w:r w:rsidRPr="007A2787">
        <w:rPr>
          <w:rFonts w:ascii="Arial" w:hAnsi="Arial" w:cs="Arial"/>
          <w:b/>
          <w:caps/>
          <w:sz w:val="24"/>
        </w:rPr>
        <w:t>Dział I.</w:t>
      </w:r>
      <w:r w:rsidRPr="007A2787">
        <w:rPr>
          <w:rFonts w:ascii="Arial" w:hAnsi="Arial" w:cs="Arial"/>
          <w:sz w:val="24"/>
        </w:rPr>
        <w:br/>
      </w:r>
      <w:r w:rsidRPr="007A2787">
        <w:rPr>
          <w:rFonts w:ascii="Arial" w:hAnsi="Arial" w:cs="Arial"/>
          <w:b/>
          <w:sz w:val="24"/>
        </w:rPr>
        <w:t>POSTANOWIENIA OGÓLNE</w:t>
      </w:r>
    </w:p>
    <w:p w14:paraId="6C73E251" w14:textId="644DC9D9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sz w:val="24"/>
        </w:rPr>
        <w:t>§ 1. </w:t>
      </w:r>
      <w:r w:rsidRPr="007A2787">
        <w:rPr>
          <w:rFonts w:ascii="Arial" w:hAnsi="Arial" w:cs="Arial"/>
          <w:sz w:val="24"/>
        </w:rPr>
        <w:t>1. </w:t>
      </w:r>
      <w:r w:rsidRPr="007A2787">
        <w:rPr>
          <w:rFonts w:ascii="Arial" w:hAnsi="Arial" w:cs="Arial"/>
          <w:sz w:val="24"/>
        </w:rPr>
        <w:t>Stwierdza się, że miejscowy plan zagospodarowania przestrzenneg</w:t>
      </w:r>
      <w:r w:rsidRPr="007A2787">
        <w:rPr>
          <w:rFonts w:ascii="Arial" w:hAnsi="Arial" w:cs="Arial"/>
          <w:sz w:val="24"/>
        </w:rPr>
        <w:t>o w  rejonie ulicy Życzliwej oraz rzeki Wierzejki w  Piotrkowie Trybunalskim, nie  narusza ustaleń obowiązującego „Studium uwarunkowań i  kierunków zagospodarowania przestrzennego miasta Piotrkowa Trybunalskiego” przyjętego Uchwałą Nr XLIX/837/06 Rady Mias</w:t>
      </w:r>
      <w:r w:rsidRPr="007A2787">
        <w:rPr>
          <w:rFonts w:ascii="Arial" w:hAnsi="Arial" w:cs="Arial"/>
          <w:sz w:val="24"/>
        </w:rPr>
        <w:t>ta Piotrkowa Trybunalskiego z  dnia 29 marca 2006 roku z późniejszymi zmianami, przyjętymi Uchwałą Nr XIV/297/11 Rady Miasta Piotrkowa Trybunalskiego z</w:t>
      </w:r>
      <w:r>
        <w:rPr>
          <w:rFonts w:ascii="Arial" w:hAnsi="Arial" w:cs="Arial"/>
          <w:sz w:val="24"/>
        </w:rPr>
        <w:t xml:space="preserve"> </w:t>
      </w:r>
      <w:r w:rsidRPr="007A2787">
        <w:rPr>
          <w:rFonts w:ascii="Arial" w:hAnsi="Arial" w:cs="Arial"/>
          <w:sz w:val="24"/>
        </w:rPr>
        <w:t>dnia 30</w:t>
      </w:r>
      <w:r>
        <w:rPr>
          <w:rFonts w:ascii="Arial" w:hAnsi="Arial" w:cs="Arial"/>
          <w:sz w:val="24"/>
        </w:rPr>
        <w:t xml:space="preserve"> </w:t>
      </w:r>
      <w:r w:rsidRPr="007A2787">
        <w:rPr>
          <w:rFonts w:ascii="Arial" w:hAnsi="Arial" w:cs="Arial"/>
          <w:sz w:val="24"/>
        </w:rPr>
        <w:t>listopada 2011 r., Uchwałą Nr XXVII/359/16 z  dnia 26 października 2016 r. i</w:t>
      </w:r>
      <w:r>
        <w:rPr>
          <w:rFonts w:ascii="Arial" w:hAnsi="Arial" w:cs="Arial"/>
          <w:sz w:val="24"/>
        </w:rPr>
        <w:t xml:space="preserve"> </w:t>
      </w:r>
      <w:r w:rsidRPr="007A2787">
        <w:rPr>
          <w:rFonts w:ascii="Arial" w:hAnsi="Arial" w:cs="Arial"/>
          <w:sz w:val="24"/>
        </w:rPr>
        <w:t>Uchwałą Nr XLVII/56</w:t>
      </w:r>
      <w:r w:rsidRPr="007A2787">
        <w:rPr>
          <w:rFonts w:ascii="Arial" w:hAnsi="Arial" w:cs="Arial"/>
          <w:sz w:val="24"/>
        </w:rPr>
        <w:t>6/17 z dnia 25 października 2017 r.</w:t>
      </w:r>
    </w:p>
    <w:p w14:paraId="34BE2EF1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2. </w:t>
      </w:r>
      <w:r w:rsidRPr="007A2787">
        <w:rPr>
          <w:rFonts w:ascii="Arial" w:hAnsi="Arial" w:cs="Arial"/>
          <w:color w:val="000000"/>
          <w:sz w:val="24"/>
          <w:u w:color="000000"/>
        </w:rPr>
        <w:t>Uchwala się miejscowy plan zagospodarowania przestrzennego w rejonie ulicy Życzliwej oraz rzeki Wierzejki w Piotrkowie Trybunalskim w granicach określonych w Uchwale Nr XXVIII/396/20 Rady Miasta Piotrkowa Trybunalskie</w:t>
      </w:r>
      <w:r w:rsidRPr="007A2787">
        <w:rPr>
          <w:rFonts w:ascii="Arial" w:hAnsi="Arial" w:cs="Arial"/>
          <w:color w:val="000000"/>
          <w:sz w:val="24"/>
          <w:u w:color="000000"/>
        </w:rPr>
        <w:t>go z dnia 29 października 2020 roku w sprawie przystąpienia do sporządzenia miejscowego planu zagospodarowania przestrzennego w rejonie ulic Życzliwej oraz rzeki Wierzejki w Piotrkowie Trybunalskim.</w:t>
      </w:r>
    </w:p>
    <w:p w14:paraId="7F1BB494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3. </w:t>
      </w:r>
      <w:r w:rsidRPr="007A2787">
        <w:rPr>
          <w:rFonts w:ascii="Arial" w:hAnsi="Arial" w:cs="Arial"/>
          <w:color w:val="000000"/>
          <w:sz w:val="24"/>
          <w:u w:color="000000"/>
        </w:rPr>
        <w:t>Granice obszaru objętego planem wyznaczone są na rysun</w:t>
      </w:r>
      <w:r w:rsidRPr="007A2787">
        <w:rPr>
          <w:rFonts w:ascii="Arial" w:hAnsi="Arial" w:cs="Arial"/>
          <w:color w:val="000000"/>
          <w:sz w:val="24"/>
          <w:u w:color="000000"/>
        </w:rPr>
        <w:t>ku planu.</w:t>
      </w:r>
    </w:p>
    <w:p w14:paraId="64EB9A95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4. </w:t>
      </w:r>
      <w:r w:rsidRPr="007A2787">
        <w:rPr>
          <w:rFonts w:ascii="Arial" w:hAnsi="Arial" w:cs="Arial"/>
          <w:color w:val="000000"/>
          <w:sz w:val="24"/>
          <w:u w:color="000000"/>
        </w:rPr>
        <w:t>Integralną częścią Uchwały są:</w:t>
      </w:r>
    </w:p>
    <w:p w14:paraId="3D963A0B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rysunek planu, stanowiący załącznik Nr 1 do niniejszej uchwały;</w:t>
      </w:r>
    </w:p>
    <w:p w14:paraId="473D91C3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rozstrzygnięcie dotyczące sposobu rozpatrzenia uwag zgłoszonych do projektu planu, stanowiące załącznik Nr 2 do niniejszej uchwały;</w:t>
      </w:r>
    </w:p>
    <w:p w14:paraId="200DB08C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3) </w:t>
      </w:r>
      <w:r w:rsidRPr="007A2787">
        <w:rPr>
          <w:rFonts w:ascii="Arial" w:hAnsi="Arial" w:cs="Arial"/>
          <w:color w:val="000000"/>
          <w:sz w:val="24"/>
          <w:u w:color="000000"/>
        </w:rPr>
        <w:t>rozstrzygnięcie dotyczące sposobu realizacji zapisanych w planie inwestycji z zakresu infrastruktury technicznej, które należą do zadań własnych gminy oraz zasad ich finansowania, zgodnie z przepisami ustawy o finansach publicznych, stanowiące załącznik nr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3 do niniejszej uchwały;</w:t>
      </w:r>
    </w:p>
    <w:p w14:paraId="483AA202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4) </w:t>
      </w:r>
      <w:r w:rsidRPr="007A2787">
        <w:rPr>
          <w:rFonts w:ascii="Arial" w:hAnsi="Arial" w:cs="Arial"/>
          <w:color w:val="000000"/>
          <w:sz w:val="24"/>
          <w:u w:color="000000"/>
        </w:rPr>
        <w:t>dane przestrzenne, stanowiące załącznik Nr 4 do niniejszej uchwały.</w:t>
      </w:r>
    </w:p>
    <w:p w14:paraId="0C65F495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5. </w:t>
      </w:r>
      <w:r w:rsidRPr="007A2787">
        <w:rPr>
          <w:rFonts w:ascii="Arial" w:hAnsi="Arial" w:cs="Arial"/>
          <w:color w:val="000000"/>
          <w:sz w:val="24"/>
          <w:u w:color="000000"/>
        </w:rPr>
        <w:t>Przedmiotem ustaleń planu są:</w:t>
      </w:r>
    </w:p>
    <w:p w14:paraId="3E64A10A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tereny rolnicze, łąki - oznaczone na rysunku planu symbolem RŁ;</w:t>
      </w:r>
    </w:p>
    <w:p w14:paraId="3582DD37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teren wód powierzchniowych śródlądowych, rzeka </w:t>
      </w:r>
      <w:proofErr w:type="spellStart"/>
      <w:r w:rsidRPr="007A2787">
        <w:rPr>
          <w:rFonts w:ascii="Arial" w:hAnsi="Arial" w:cs="Arial"/>
          <w:color w:val="000000"/>
          <w:sz w:val="24"/>
          <w:u w:color="000000"/>
        </w:rPr>
        <w:t>Wierzejka</w:t>
      </w:r>
      <w:proofErr w:type="spellEnd"/>
      <w:r w:rsidRPr="007A2787">
        <w:rPr>
          <w:rFonts w:ascii="Arial" w:hAnsi="Arial" w:cs="Arial"/>
          <w:color w:val="000000"/>
          <w:sz w:val="24"/>
          <w:u w:color="000000"/>
        </w:rPr>
        <w:t xml:space="preserve"> - oznaczony na rysunku planu symbolem WS;</w:t>
      </w:r>
    </w:p>
    <w:p w14:paraId="786D65FD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lastRenderedPageBreak/>
        <w:t>3) </w:t>
      </w:r>
      <w:r w:rsidRPr="007A2787">
        <w:rPr>
          <w:rFonts w:ascii="Arial" w:hAnsi="Arial" w:cs="Arial"/>
          <w:color w:val="000000"/>
          <w:sz w:val="24"/>
          <w:u w:color="000000"/>
        </w:rPr>
        <w:t>tereny dróg wewnętrznych - oznaczone na rysunku planu symbolem KDW.</w:t>
      </w:r>
    </w:p>
    <w:p w14:paraId="17EE810A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sz w:val="24"/>
        </w:rPr>
        <w:t>§ 2. </w:t>
      </w:r>
      <w:r w:rsidRPr="007A2787">
        <w:rPr>
          <w:rFonts w:ascii="Arial" w:hAnsi="Arial" w:cs="Arial"/>
          <w:sz w:val="24"/>
        </w:rPr>
        <w:t>1. </w:t>
      </w:r>
      <w:r w:rsidRPr="007A2787">
        <w:rPr>
          <w:rFonts w:ascii="Arial" w:hAnsi="Arial" w:cs="Arial"/>
          <w:color w:val="000000"/>
          <w:sz w:val="24"/>
          <w:u w:color="000000"/>
        </w:rPr>
        <w:t>Następujące oznaczenia graficzne na rysunku planu są obowiązującymi ustaleniami planu:</w:t>
      </w:r>
    </w:p>
    <w:p w14:paraId="33D9264A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granica obszaru objętego planem;</w:t>
      </w:r>
    </w:p>
    <w:p w14:paraId="2C9EAD91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linie ro</w:t>
      </w:r>
      <w:r w:rsidRPr="007A2787">
        <w:rPr>
          <w:rFonts w:ascii="Arial" w:hAnsi="Arial" w:cs="Arial"/>
          <w:color w:val="000000"/>
          <w:sz w:val="24"/>
          <w:u w:color="000000"/>
        </w:rPr>
        <w:t>zgraniczające tereny o różnym przeznaczeniu lub różnych zasadach zagospodarowania;</w:t>
      </w:r>
    </w:p>
    <w:p w14:paraId="5E754E7E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3) </w:t>
      </w:r>
      <w:r w:rsidRPr="007A2787">
        <w:rPr>
          <w:rFonts w:ascii="Arial" w:hAnsi="Arial" w:cs="Arial"/>
          <w:color w:val="000000"/>
          <w:sz w:val="24"/>
          <w:u w:color="000000"/>
        </w:rPr>
        <w:t>przeznaczenie terenów;</w:t>
      </w:r>
    </w:p>
    <w:p w14:paraId="5551282A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4) </w:t>
      </w:r>
      <w:r w:rsidRPr="007A2787">
        <w:rPr>
          <w:rFonts w:ascii="Arial" w:hAnsi="Arial" w:cs="Arial"/>
          <w:color w:val="000000"/>
          <w:sz w:val="24"/>
          <w:u w:color="000000"/>
        </w:rPr>
        <w:t>strefa kontrolowana dla gazociągu wysokiego ciśnienia;</w:t>
      </w:r>
    </w:p>
    <w:p w14:paraId="257EBEC8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5) </w:t>
      </w:r>
      <w:r w:rsidRPr="007A2787">
        <w:rPr>
          <w:rFonts w:ascii="Arial" w:hAnsi="Arial" w:cs="Arial"/>
          <w:color w:val="000000"/>
          <w:sz w:val="24"/>
          <w:u w:color="000000"/>
        </w:rPr>
        <w:t>stanowisko archeologiczne;</w:t>
      </w:r>
    </w:p>
    <w:p w14:paraId="0A69CB3D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6) </w:t>
      </w:r>
      <w:r w:rsidRPr="007A2787">
        <w:rPr>
          <w:rFonts w:ascii="Arial" w:hAnsi="Arial" w:cs="Arial"/>
          <w:color w:val="000000"/>
          <w:sz w:val="24"/>
          <w:u w:color="000000"/>
        </w:rPr>
        <w:t>strefa ochrony archeologicznej;</w:t>
      </w:r>
    </w:p>
    <w:p w14:paraId="17A688B4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7)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strefa </w:t>
      </w:r>
      <w:r w:rsidRPr="007A2787">
        <w:rPr>
          <w:rFonts w:ascii="Arial" w:hAnsi="Arial" w:cs="Arial"/>
          <w:color w:val="000000"/>
          <w:sz w:val="24"/>
          <w:u w:color="000000"/>
        </w:rPr>
        <w:t>ograniczonego użytkowania od linii napowietrznej 15 </w:t>
      </w:r>
      <w:proofErr w:type="spellStart"/>
      <w:r w:rsidRPr="007A2787">
        <w:rPr>
          <w:rFonts w:ascii="Arial" w:hAnsi="Arial" w:cs="Arial"/>
          <w:color w:val="000000"/>
          <w:sz w:val="24"/>
          <w:u w:color="000000"/>
        </w:rPr>
        <w:t>kV</w:t>
      </w:r>
      <w:proofErr w:type="spellEnd"/>
      <w:r w:rsidRPr="007A2787">
        <w:rPr>
          <w:rFonts w:ascii="Arial" w:hAnsi="Arial" w:cs="Arial"/>
          <w:color w:val="000000"/>
          <w:sz w:val="24"/>
          <w:u w:color="000000"/>
        </w:rPr>
        <w:t>.</w:t>
      </w:r>
    </w:p>
    <w:p w14:paraId="6AD714F0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2. </w:t>
      </w:r>
      <w:r w:rsidRPr="007A2787">
        <w:rPr>
          <w:rFonts w:ascii="Arial" w:hAnsi="Arial" w:cs="Arial"/>
          <w:color w:val="000000"/>
          <w:sz w:val="24"/>
          <w:u w:color="000000"/>
        </w:rPr>
        <w:t>Pozostałe oznaczenia graficzne na rysunku planu nie wymienione w ust. 1. są oznaczeniami informacyjnymi.</w:t>
      </w:r>
    </w:p>
    <w:p w14:paraId="584B3A31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sz w:val="24"/>
        </w:rPr>
        <w:t>§ 3. </w:t>
      </w:r>
      <w:r w:rsidRPr="007A2787">
        <w:rPr>
          <w:rFonts w:ascii="Arial" w:hAnsi="Arial" w:cs="Arial"/>
          <w:color w:val="000000"/>
          <w:sz w:val="24"/>
          <w:u w:color="000000"/>
        </w:rPr>
        <w:t>Ilekroć w przepisach niniejszej uchwały jest mowa o:</w:t>
      </w:r>
    </w:p>
    <w:p w14:paraId="59043F25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b/>
          <w:color w:val="000000"/>
          <w:sz w:val="24"/>
          <w:u w:color="000000"/>
        </w:rPr>
        <w:t>linii rozgraniczającej tereny o</w:t>
      </w:r>
      <w:r w:rsidRPr="007A2787">
        <w:rPr>
          <w:rFonts w:ascii="Arial" w:hAnsi="Arial" w:cs="Arial"/>
          <w:b/>
          <w:color w:val="000000"/>
          <w:sz w:val="24"/>
          <w:u w:color="000000"/>
        </w:rPr>
        <w:t> różnym przeznaczeniu lub różnych zasadach zagospodarowania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– należy przez to rozumieć oznaczoną na rysunku planu linię ciągłą, dzielącą obszar na części o różnym przeznaczeniu lub różnych zasadach zagospodarowania;</w:t>
      </w:r>
    </w:p>
    <w:p w14:paraId="12F74403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b/>
          <w:color w:val="000000"/>
          <w:sz w:val="24"/>
          <w:u w:color="000000"/>
        </w:rPr>
        <w:t>obszarze planu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– należy przez to rozu</w:t>
      </w:r>
      <w:r w:rsidRPr="007A2787">
        <w:rPr>
          <w:rFonts w:ascii="Arial" w:hAnsi="Arial" w:cs="Arial"/>
          <w:color w:val="000000"/>
          <w:sz w:val="24"/>
          <w:u w:color="000000"/>
        </w:rPr>
        <w:t>mieć obszar objęty planem w  granicach przedstawionych na rysunku planu;</w:t>
      </w:r>
    </w:p>
    <w:p w14:paraId="32F8EB33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3) </w:t>
      </w:r>
      <w:r w:rsidRPr="007A2787">
        <w:rPr>
          <w:rFonts w:ascii="Arial" w:hAnsi="Arial" w:cs="Arial"/>
          <w:b/>
          <w:color w:val="000000"/>
          <w:sz w:val="24"/>
          <w:u w:color="000000"/>
        </w:rPr>
        <w:t>rysunku planu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- należy przez to rozumieć opracowanie graficzne sporządzone na urzędowej kopii mapy zasadniczej, pochodzącej z państwowego zasobu geodezyjnego i  kartograficznego w </w:t>
      </w:r>
      <w:r w:rsidRPr="007A2787">
        <w:rPr>
          <w:rFonts w:ascii="Arial" w:hAnsi="Arial" w:cs="Arial"/>
          <w:color w:val="000000"/>
          <w:sz w:val="24"/>
          <w:u w:color="000000"/>
        </w:rPr>
        <w:t> skali 1:2000;</w:t>
      </w:r>
    </w:p>
    <w:p w14:paraId="1263E1A4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4) </w:t>
      </w:r>
      <w:r w:rsidRPr="007A2787">
        <w:rPr>
          <w:rFonts w:ascii="Arial" w:hAnsi="Arial" w:cs="Arial"/>
          <w:b/>
          <w:color w:val="000000"/>
          <w:sz w:val="24"/>
          <w:u w:color="000000"/>
        </w:rPr>
        <w:t>terenie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- należy przez to rozumieć teren o  określonym przeznaczeniu i zasadach zagospodarowania, wyznaczony na rysunku planu liniami rozgraniczającymi oraz oznaczony symbolami cyfrowymi i literowymi, z  których cyfry oznaczają kolejny nu</w:t>
      </w:r>
      <w:r w:rsidRPr="007A2787">
        <w:rPr>
          <w:rFonts w:ascii="Arial" w:hAnsi="Arial" w:cs="Arial"/>
          <w:color w:val="000000"/>
          <w:sz w:val="24"/>
          <w:u w:color="000000"/>
        </w:rPr>
        <w:t>mer terenu, a  litery jego przeznaczenie;</w:t>
      </w:r>
    </w:p>
    <w:p w14:paraId="1CD40974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5) </w:t>
      </w:r>
      <w:r w:rsidRPr="007A2787">
        <w:rPr>
          <w:rFonts w:ascii="Arial" w:hAnsi="Arial" w:cs="Arial"/>
          <w:b/>
          <w:color w:val="000000"/>
          <w:sz w:val="24"/>
          <w:u w:color="000000"/>
        </w:rPr>
        <w:t xml:space="preserve">powierzchni biologicznie czynnej – </w:t>
      </w:r>
      <w:r w:rsidRPr="007A2787">
        <w:rPr>
          <w:rFonts w:ascii="Arial" w:hAnsi="Arial" w:cs="Arial"/>
          <w:color w:val="000000"/>
          <w:sz w:val="24"/>
          <w:u w:color="000000"/>
        </w:rPr>
        <w:t>należy przez to rozumieć teren biologicznie czynny w  rozumieniu przepisów odrębnych.</w:t>
      </w:r>
    </w:p>
    <w:p w14:paraId="0D7B5573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sz w:val="24"/>
        </w:rPr>
        <w:t>§ 4. </w:t>
      </w:r>
      <w:r w:rsidRPr="007A2787">
        <w:rPr>
          <w:rFonts w:ascii="Arial" w:hAnsi="Arial" w:cs="Arial"/>
          <w:color w:val="000000"/>
          <w:sz w:val="24"/>
          <w:u w:color="000000"/>
        </w:rPr>
        <w:t>Dla obszaru, o którym mowa w §1 plan ustala:</w:t>
      </w:r>
    </w:p>
    <w:p w14:paraId="4F89D9FE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przeznaczenie terenów oraz linie </w:t>
      </w:r>
      <w:r w:rsidRPr="007A2787">
        <w:rPr>
          <w:rFonts w:ascii="Arial" w:hAnsi="Arial" w:cs="Arial"/>
          <w:color w:val="000000"/>
          <w:sz w:val="24"/>
          <w:u w:color="000000"/>
        </w:rPr>
        <w:t>rozgraniczające tereny o różnym przeznaczeniu lub różnych zasadach zagospodarowania;</w:t>
      </w:r>
    </w:p>
    <w:p w14:paraId="767CCE78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zasady ochrony i kształtowania ładu przestrzennego;</w:t>
      </w:r>
    </w:p>
    <w:p w14:paraId="2D09D2B2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3) </w:t>
      </w:r>
      <w:r w:rsidRPr="007A2787">
        <w:rPr>
          <w:rFonts w:ascii="Arial" w:hAnsi="Arial" w:cs="Arial"/>
          <w:color w:val="000000"/>
          <w:sz w:val="24"/>
          <w:u w:color="000000"/>
        </w:rPr>
        <w:t>zasady ochrony środowiska, przyrody i krajobrazu;</w:t>
      </w:r>
    </w:p>
    <w:p w14:paraId="6CE4CF4D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4) </w:t>
      </w:r>
      <w:r w:rsidRPr="007A2787">
        <w:rPr>
          <w:rFonts w:ascii="Arial" w:hAnsi="Arial" w:cs="Arial"/>
          <w:color w:val="000000"/>
          <w:sz w:val="24"/>
          <w:u w:color="000000"/>
        </w:rPr>
        <w:t>zasady ochrony dziedzictwa kulturowego i zabytków;</w:t>
      </w:r>
    </w:p>
    <w:p w14:paraId="20F1B89B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5) </w:t>
      </w:r>
      <w:r w:rsidRPr="007A2787">
        <w:rPr>
          <w:rFonts w:ascii="Arial" w:hAnsi="Arial" w:cs="Arial"/>
          <w:color w:val="000000"/>
          <w:sz w:val="24"/>
          <w:u w:color="000000"/>
        </w:rPr>
        <w:t>zasady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kształtowania zabudowy oraz wskaźniki zagospodarowania terenu;</w:t>
      </w:r>
    </w:p>
    <w:p w14:paraId="7443E10E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lastRenderedPageBreak/>
        <w:t>6) </w:t>
      </w:r>
      <w:r w:rsidRPr="007A2787">
        <w:rPr>
          <w:rFonts w:ascii="Arial" w:hAnsi="Arial" w:cs="Arial"/>
          <w:color w:val="000000"/>
          <w:sz w:val="24"/>
          <w:u w:color="000000"/>
        </w:rPr>
        <w:t>szczególne warunki zagospodarowania terenów oraz ograniczenia w ich użytkowaniu, w tym zakaz zabudowy;</w:t>
      </w:r>
    </w:p>
    <w:p w14:paraId="6B1DD29D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7) </w:t>
      </w:r>
      <w:r w:rsidRPr="007A2787">
        <w:rPr>
          <w:rFonts w:ascii="Arial" w:hAnsi="Arial" w:cs="Arial"/>
          <w:color w:val="000000"/>
          <w:sz w:val="24"/>
          <w:u w:color="000000"/>
        </w:rPr>
        <w:t>zasady modernizacji, rozbudowy i budowy systemu komunikacji i infrastruktury techni</w:t>
      </w:r>
      <w:r w:rsidRPr="007A2787">
        <w:rPr>
          <w:rFonts w:ascii="Arial" w:hAnsi="Arial" w:cs="Arial"/>
          <w:color w:val="000000"/>
          <w:sz w:val="24"/>
          <w:u w:color="000000"/>
        </w:rPr>
        <w:t>cznej;</w:t>
      </w:r>
    </w:p>
    <w:p w14:paraId="7225CD0A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8) </w:t>
      </w:r>
      <w:r w:rsidRPr="007A2787">
        <w:rPr>
          <w:rFonts w:ascii="Arial" w:hAnsi="Arial" w:cs="Arial"/>
          <w:color w:val="000000"/>
          <w:sz w:val="24"/>
          <w:u w:color="000000"/>
        </w:rPr>
        <w:t>sposoby i terminy tymczasowego zagospodarowania, urządzania i użytkowania terenów;</w:t>
      </w:r>
    </w:p>
    <w:p w14:paraId="2F37EA27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9) </w:t>
      </w:r>
      <w:r w:rsidRPr="007A2787">
        <w:rPr>
          <w:rFonts w:ascii="Arial" w:hAnsi="Arial" w:cs="Arial"/>
          <w:color w:val="000000"/>
          <w:sz w:val="24"/>
          <w:u w:color="000000"/>
        </w:rPr>
        <w:t>stawki procentowe, na podstawie których ustala się opłatę od wzrostu wartości nieruchomości w związku z uchwaleniem planu.</w:t>
      </w:r>
    </w:p>
    <w:p w14:paraId="0F1E94D7" w14:textId="77777777" w:rsidR="00A77B3E" w:rsidRPr="007A2787" w:rsidRDefault="007A2787" w:rsidP="007A2787">
      <w:pPr>
        <w:keepNext/>
        <w:spacing w:line="276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caps/>
          <w:sz w:val="24"/>
        </w:rPr>
        <w:t>Dział II.</w:t>
      </w:r>
      <w:r w:rsidRPr="007A2787">
        <w:rPr>
          <w:rFonts w:ascii="Arial" w:hAnsi="Arial" w:cs="Arial"/>
          <w:color w:val="000000"/>
          <w:sz w:val="24"/>
          <w:u w:color="000000"/>
        </w:rPr>
        <w:br/>
      </w:r>
      <w:r w:rsidRPr="007A2787">
        <w:rPr>
          <w:rFonts w:ascii="Arial" w:hAnsi="Arial" w:cs="Arial"/>
          <w:b/>
          <w:color w:val="000000"/>
          <w:sz w:val="24"/>
          <w:u w:color="000000"/>
        </w:rPr>
        <w:t>USTALENIA DLA CAŁEGO OBSZAR</w:t>
      </w:r>
      <w:r w:rsidRPr="007A2787">
        <w:rPr>
          <w:rFonts w:ascii="Arial" w:hAnsi="Arial" w:cs="Arial"/>
          <w:b/>
          <w:color w:val="000000"/>
          <w:sz w:val="24"/>
          <w:u w:color="000000"/>
        </w:rPr>
        <w:t>U OBJĘTEGO PLANEM</w:t>
      </w:r>
    </w:p>
    <w:p w14:paraId="2340B833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sz w:val="24"/>
        </w:rPr>
        <w:t>§ 5. </w:t>
      </w:r>
      <w:r w:rsidRPr="007A2787">
        <w:rPr>
          <w:rFonts w:ascii="Arial" w:hAnsi="Arial" w:cs="Arial"/>
          <w:sz w:val="24"/>
        </w:rPr>
        <w:t>1. </w:t>
      </w:r>
      <w:r w:rsidRPr="007A2787">
        <w:rPr>
          <w:rFonts w:ascii="Arial" w:hAnsi="Arial" w:cs="Arial"/>
          <w:color w:val="000000"/>
          <w:sz w:val="24"/>
          <w:u w:color="000000"/>
        </w:rPr>
        <w:t>Ustala się następujące zasady ochrony i  kształtowania ładu przestrzennego:</w:t>
      </w:r>
    </w:p>
    <w:p w14:paraId="04E749EF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nakaz kształtowania przestrzeni poprzez zachowanie i ochronę charakterystycznych cech krajobrazu otwartego doliny rzecznej oraz zachowanie trwałych uży</w:t>
      </w:r>
      <w:r w:rsidRPr="007A2787">
        <w:rPr>
          <w:rFonts w:ascii="Arial" w:hAnsi="Arial" w:cs="Arial"/>
          <w:color w:val="000000"/>
          <w:sz w:val="24"/>
          <w:u w:color="000000"/>
        </w:rPr>
        <w:t>tków zielonych na terenach otwartych.</w:t>
      </w:r>
    </w:p>
    <w:p w14:paraId="380BFB4A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2. </w:t>
      </w:r>
      <w:r w:rsidRPr="007A2787">
        <w:rPr>
          <w:rFonts w:ascii="Arial" w:hAnsi="Arial" w:cs="Arial"/>
          <w:color w:val="000000"/>
          <w:sz w:val="24"/>
          <w:u w:color="000000"/>
        </w:rPr>
        <w:t>Zasady ochrony środowiska, przyrody i krajobrazu:</w:t>
      </w:r>
    </w:p>
    <w:p w14:paraId="3EB418D4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nakaz stosowania rozwiązań technicznych, technologicznych i organizacyjnych zapewniających zachowanie standardów jakości środowiska określonych w przepisach odręb</w:t>
      </w:r>
      <w:r w:rsidRPr="007A2787">
        <w:rPr>
          <w:rFonts w:ascii="Arial" w:hAnsi="Arial" w:cs="Arial"/>
          <w:color w:val="000000"/>
          <w:sz w:val="24"/>
          <w:u w:color="000000"/>
        </w:rPr>
        <w:t>nych dotyczących ochrony środowiska w tym przepisów dotyczących dostępu do wód powierzchniowych zawartych w ustawie Prawo wodne;</w:t>
      </w:r>
    </w:p>
    <w:p w14:paraId="1E2959C7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zakaz lokalizacji przedsięwzięć mogących zawsze znacząco oddziaływać na środowisko, za wyjątkiem inwestycji celu publicznego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z zakresu telekomunikacji oraz infrastruktury technicznej i drogowej;</w:t>
      </w:r>
    </w:p>
    <w:p w14:paraId="3365FC30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zakaz lokalizacji przedsięwzięć mogących potencjalnie znacząco oddziaływać na środowisko za wyjątkiem inwestycji celu publicznego z zakresu telekomunikacji, urządzeń </w:t>
      </w:r>
      <w:r w:rsidRPr="007A2787">
        <w:rPr>
          <w:rFonts w:ascii="Arial" w:hAnsi="Arial" w:cs="Arial"/>
          <w:color w:val="000000"/>
          <w:sz w:val="24"/>
          <w:u w:color="000000"/>
        </w:rPr>
        <w:t>infrastruktury technicznej, dróg, obiektów mostowych, budowli przeciwpowodziowych, hydrotechnicznych, zbiorników wodnych, stawów i urządzeń melioracji wodnych;</w:t>
      </w:r>
    </w:p>
    <w:p w14:paraId="6A888F8E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4) </w:t>
      </w:r>
      <w:r w:rsidRPr="007A2787">
        <w:rPr>
          <w:rFonts w:ascii="Arial" w:hAnsi="Arial" w:cs="Arial"/>
          <w:color w:val="000000"/>
          <w:sz w:val="24"/>
          <w:u w:color="000000"/>
        </w:rPr>
        <w:t>obowiązek zachowania z dopuszczeniem przebudowy systemu dopływu i odpływu wód rzeki Wierzejki</w:t>
      </w:r>
      <w:r w:rsidRPr="007A2787">
        <w:rPr>
          <w:rFonts w:ascii="Arial" w:hAnsi="Arial" w:cs="Arial"/>
          <w:color w:val="000000"/>
          <w:sz w:val="24"/>
          <w:u w:color="000000"/>
        </w:rPr>
        <w:t>;</w:t>
      </w:r>
    </w:p>
    <w:p w14:paraId="13F83DCA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5)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dopuszcza się budowę obiektów hydrotechnicznych związanych z rzeką </w:t>
      </w:r>
      <w:proofErr w:type="spellStart"/>
      <w:r w:rsidRPr="007A2787">
        <w:rPr>
          <w:rFonts w:ascii="Arial" w:hAnsi="Arial" w:cs="Arial"/>
          <w:color w:val="000000"/>
          <w:sz w:val="24"/>
          <w:u w:color="000000"/>
        </w:rPr>
        <w:t>Wierzejką</w:t>
      </w:r>
      <w:proofErr w:type="spellEnd"/>
      <w:r w:rsidRPr="007A2787">
        <w:rPr>
          <w:rFonts w:ascii="Arial" w:hAnsi="Arial" w:cs="Arial"/>
          <w:color w:val="000000"/>
          <w:sz w:val="24"/>
          <w:u w:color="000000"/>
        </w:rPr>
        <w:t xml:space="preserve"> w celu zapewnienia prawidłowego przepływu wód;</w:t>
      </w:r>
    </w:p>
    <w:p w14:paraId="356723E2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6) </w:t>
      </w:r>
      <w:r w:rsidRPr="007A2787">
        <w:rPr>
          <w:rFonts w:ascii="Arial" w:hAnsi="Arial" w:cs="Arial"/>
          <w:color w:val="000000"/>
          <w:sz w:val="24"/>
          <w:u w:color="000000"/>
        </w:rPr>
        <w:t>obowiązek zachowania z dopuszczeniem przebudowy istniejących rowów służących do odprowadzania wód opadowych;</w:t>
      </w:r>
    </w:p>
    <w:p w14:paraId="50D8631A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7) </w:t>
      </w:r>
      <w:r w:rsidRPr="007A2787">
        <w:rPr>
          <w:rFonts w:ascii="Arial" w:hAnsi="Arial" w:cs="Arial"/>
          <w:color w:val="000000"/>
          <w:sz w:val="24"/>
          <w:u w:color="000000"/>
        </w:rPr>
        <w:t>obowiązek zachowania występujących w granicach opracowania urządzeń melioracji wodnych; w przypadku ich kolizji z projektowanymi obiektami należy je przebudować, zachowując drożność całego systemu, właściwy stan techniczny i kierunek odpływu wody;</w:t>
      </w:r>
    </w:p>
    <w:p w14:paraId="185EB9A9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8) </w:t>
      </w:r>
      <w:r w:rsidRPr="007A2787">
        <w:rPr>
          <w:rFonts w:ascii="Arial" w:hAnsi="Arial" w:cs="Arial"/>
          <w:color w:val="000000"/>
          <w:sz w:val="24"/>
          <w:u w:color="000000"/>
        </w:rPr>
        <w:t>teren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objęty planem nie podlega ochronie akustycznej;</w:t>
      </w:r>
    </w:p>
    <w:p w14:paraId="05053A60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9) </w:t>
      </w:r>
      <w:r w:rsidRPr="007A2787">
        <w:rPr>
          <w:rFonts w:ascii="Arial" w:hAnsi="Arial" w:cs="Arial"/>
          <w:color w:val="000000"/>
          <w:sz w:val="24"/>
          <w:u w:color="000000"/>
        </w:rPr>
        <w:t>cały obszar planu znajduje się w granicach Głównego Zbiornika Wód Podziemnych - GZWP nr 401 „Zbiornik Niecka Łódzka”.</w:t>
      </w:r>
    </w:p>
    <w:p w14:paraId="349D2E45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3. </w:t>
      </w:r>
      <w:r w:rsidRPr="007A2787">
        <w:rPr>
          <w:rFonts w:ascii="Arial" w:hAnsi="Arial" w:cs="Arial"/>
          <w:color w:val="000000"/>
          <w:sz w:val="24"/>
          <w:u w:color="000000"/>
        </w:rPr>
        <w:t>Wymagania wynikające z kształtowania przestrzeni publicznych:</w:t>
      </w:r>
    </w:p>
    <w:p w14:paraId="0D04EC27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lastRenderedPageBreak/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plan nie wyznacza </w:t>
      </w:r>
      <w:r w:rsidRPr="007A2787">
        <w:rPr>
          <w:rFonts w:ascii="Arial" w:hAnsi="Arial" w:cs="Arial"/>
          <w:color w:val="000000"/>
          <w:sz w:val="24"/>
          <w:u w:color="000000"/>
        </w:rPr>
        <w:t>obszarów przestrzeni publicznych.</w:t>
      </w:r>
    </w:p>
    <w:p w14:paraId="10E45AE7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4. </w:t>
      </w:r>
      <w:r w:rsidRPr="007A2787">
        <w:rPr>
          <w:rFonts w:ascii="Arial" w:hAnsi="Arial" w:cs="Arial"/>
          <w:color w:val="000000"/>
          <w:sz w:val="24"/>
          <w:u w:color="000000"/>
        </w:rPr>
        <w:t>Zasady ochrony dziedzictwa kulturowego i zabytków:</w:t>
      </w:r>
    </w:p>
    <w:p w14:paraId="23801561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ustala się ochronę stanowiska archeologicznego - nr obszaru 73-54 nr 22, wskazanego graficznie na rysunku planu;</w:t>
      </w:r>
    </w:p>
    <w:p w14:paraId="03C0EC54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na obszarze lokalizacji zabytku archeologicznego,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o którym mowa w pkt. 1), przy realizacji robót ziemnych lub dokonywaniu zmiany zagospodarowania terenu wiążącej się z naruszeniem struktury gruntu, należy przeprowadzić badania archeologiczne zgodnie z przepisami odrębnymi dotyczącymi zabytków;</w:t>
      </w:r>
    </w:p>
    <w:p w14:paraId="1B370DF0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ustala </w:t>
      </w:r>
      <w:r w:rsidRPr="007A2787">
        <w:rPr>
          <w:rFonts w:ascii="Arial" w:hAnsi="Arial" w:cs="Arial"/>
          <w:color w:val="000000"/>
          <w:sz w:val="24"/>
          <w:u w:color="000000"/>
        </w:rPr>
        <w:t>się strefę ochrony archeologicznej stanowiska, o którym mowa w pkt. 1), w strefie nakazuje się przeprowadzenie badań archeologicznych polegających na obserwacji i analizie nawarstwień mających na celu odkrycie i rozpoznanie w wykopach budowlanych podczas r</w:t>
      </w:r>
      <w:r w:rsidRPr="007A2787">
        <w:rPr>
          <w:rFonts w:ascii="Arial" w:hAnsi="Arial" w:cs="Arial"/>
          <w:color w:val="000000"/>
          <w:sz w:val="24"/>
          <w:u w:color="000000"/>
        </w:rPr>
        <w:t>ealizacji robót ziemnych lub przy dokonywaniu zmiany zagospodarowania terenu wiążącej się z naruszeniem struktury gruntu.</w:t>
      </w:r>
    </w:p>
    <w:p w14:paraId="2A1E653D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5. 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Granice i sposoby zagospodarowania terenów lub obiektów podlegających ochronie, ustalonych na podstawie odrębnych przepisów, w tym </w:t>
      </w:r>
      <w:r w:rsidRPr="007A2787">
        <w:rPr>
          <w:rFonts w:ascii="Arial" w:hAnsi="Arial" w:cs="Arial"/>
          <w:color w:val="000000"/>
          <w:sz w:val="24"/>
          <w:u w:color="000000"/>
        </w:rPr>
        <w:t>terenów górniczych, a także narażonych na niebezpieczeństwo powodzi, zagrożonych osuwaniem się mas ziemnych oraz krajobrazów priorytetowych określonych w audycie krajobrazowym i w planach zagospodarowania przestrzennego województwa:</w:t>
      </w:r>
    </w:p>
    <w:p w14:paraId="6B1E9FB6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obszar objęty planem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nie leży na terenach górniczych, wobec czego plan nie nakłada wymagań w tym zakresie;</w:t>
      </w:r>
    </w:p>
    <w:p w14:paraId="10E1FF0F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obszar objęty planem nie jest narażony na niebezpieczeństwo powodzi, wobec czego plan nie nakłada wymagań w tym zakresie;</w:t>
      </w:r>
    </w:p>
    <w:p w14:paraId="49029254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na obszarze objętym planem nie występują </w:t>
      </w:r>
      <w:r w:rsidRPr="007A2787">
        <w:rPr>
          <w:rFonts w:ascii="Arial" w:hAnsi="Arial" w:cs="Arial"/>
          <w:color w:val="000000"/>
          <w:sz w:val="24"/>
          <w:u w:color="000000"/>
        </w:rPr>
        <w:t>zjawiska związane z osuwaniem się mas ziemnych, wobec czego plan nie nakłada wymagań w tym zakresie;</w:t>
      </w:r>
    </w:p>
    <w:p w14:paraId="02B47CFB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4) </w:t>
      </w:r>
      <w:r w:rsidRPr="007A2787">
        <w:rPr>
          <w:rFonts w:ascii="Arial" w:hAnsi="Arial" w:cs="Arial"/>
          <w:color w:val="000000"/>
          <w:sz w:val="24"/>
          <w:u w:color="000000"/>
        </w:rPr>
        <w:t>na obszarze objętym planem brak jest krajobrazów priorytetowych określonych w audycie krajobrazowym oraz w planach zagospodarowania przestrzennego wojew</w:t>
      </w:r>
      <w:r w:rsidRPr="007A2787">
        <w:rPr>
          <w:rFonts w:ascii="Arial" w:hAnsi="Arial" w:cs="Arial"/>
          <w:color w:val="000000"/>
          <w:sz w:val="24"/>
          <w:u w:color="000000"/>
        </w:rPr>
        <w:t>ództwa, wobec czego plan nie nakłada wymagań w tym zakresie.</w:t>
      </w:r>
    </w:p>
    <w:p w14:paraId="612B6234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6. </w:t>
      </w:r>
      <w:r w:rsidRPr="007A2787">
        <w:rPr>
          <w:rFonts w:ascii="Arial" w:hAnsi="Arial" w:cs="Arial"/>
          <w:color w:val="000000"/>
          <w:sz w:val="24"/>
          <w:u w:color="000000"/>
        </w:rPr>
        <w:t>Szczegółowe zasady i warunki scalania i podziału nieruchomości:</w:t>
      </w:r>
    </w:p>
    <w:p w14:paraId="5863477F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nie ustala się zasad scalania i ponownego podziału nieruchomości.</w:t>
      </w:r>
    </w:p>
    <w:p w14:paraId="73BAC579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7. </w:t>
      </w:r>
      <w:r w:rsidRPr="007A2787">
        <w:rPr>
          <w:rFonts w:ascii="Arial" w:hAnsi="Arial" w:cs="Arial"/>
          <w:color w:val="000000"/>
          <w:sz w:val="24"/>
          <w:u w:color="000000"/>
        </w:rPr>
        <w:t>Szczególne warunki zagospodarowania terenów oraz ogranic</w:t>
      </w:r>
      <w:r w:rsidRPr="007A2787">
        <w:rPr>
          <w:rFonts w:ascii="Arial" w:hAnsi="Arial" w:cs="Arial"/>
          <w:color w:val="000000"/>
          <w:sz w:val="24"/>
          <w:u w:color="000000"/>
        </w:rPr>
        <w:t>zenia w ich użytkowaniu, w tym zakaz zabudowy:</w:t>
      </w:r>
    </w:p>
    <w:p w14:paraId="5F36BA33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zakaz lokalizacji budynków z uwzględnieniem § 6 ust. 1 pkt 3;</w:t>
      </w:r>
    </w:p>
    <w:p w14:paraId="5192317C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dla istniejącego gazociągu wysokiego ciśnienia DN400 obowiązuje strefa kontrolowana, której szerokość i ograniczenia określają przepisy odręb</w:t>
      </w:r>
      <w:r w:rsidRPr="007A2787">
        <w:rPr>
          <w:rFonts w:ascii="Arial" w:hAnsi="Arial" w:cs="Arial"/>
          <w:color w:val="000000"/>
          <w:sz w:val="24"/>
          <w:u w:color="000000"/>
        </w:rPr>
        <w:t>ne;</w:t>
      </w:r>
    </w:p>
    <w:p w14:paraId="70813EA8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3) </w:t>
      </w:r>
      <w:r w:rsidRPr="007A2787">
        <w:rPr>
          <w:rFonts w:ascii="Arial" w:hAnsi="Arial" w:cs="Arial"/>
          <w:color w:val="000000"/>
          <w:sz w:val="24"/>
          <w:u w:color="000000"/>
        </w:rPr>
        <w:t>ustala się strefę ograniczonego użytkowania od linii napowietrznej 15 </w:t>
      </w:r>
      <w:proofErr w:type="spellStart"/>
      <w:r w:rsidRPr="007A2787">
        <w:rPr>
          <w:rFonts w:ascii="Arial" w:hAnsi="Arial" w:cs="Arial"/>
          <w:color w:val="000000"/>
          <w:sz w:val="24"/>
          <w:u w:color="000000"/>
        </w:rPr>
        <w:t>kV</w:t>
      </w:r>
      <w:proofErr w:type="spellEnd"/>
      <w:r w:rsidRPr="007A2787">
        <w:rPr>
          <w:rFonts w:ascii="Arial" w:hAnsi="Arial" w:cs="Arial"/>
          <w:color w:val="000000"/>
          <w:sz w:val="24"/>
          <w:u w:color="000000"/>
        </w:rPr>
        <w:t>:</w:t>
      </w:r>
    </w:p>
    <w:p w14:paraId="294DA05A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a) </w:t>
      </w:r>
      <w:r w:rsidRPr="007A2787">
        <w:rPr>
          <w:rFonts w:ascii="Arial" w:hAnsi="Arial" w:cs="Arial"/>
          <w:color w:val="000000"/>
          <w:sz w:val="24"/>
          <w:u w:color="000000"/>
        </w:rPr>
        <w:t>szerokość strefy od 0 do 15,0 m w granicach opracowania (tj. 7,5 m na każdą stronę od osi linii), zgodnie z rysunkiem planu,</w:t>
      </w:r>
    </w:p>
    <w:p w14:paraId="220D7723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b)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w strefie ograniczonego </w:t>
      </w:r>
      <w:r w:rsidRPr="007A2787">
        <w:rPr>
          <w:rFonts w:ascii="Arial" w:hAnsi="Arial" w:cs="Arial"/>
          <w:color w:val="000000"/>
          <w:sz w:val="24"/>
          <w:u w:color="000000"/>
        </w:rPr>
        <w:t>użytkowania obowiązuje zakaz sadzenia drzew i krzewów, których naturalna wysokość może przekraczać 3 m;</w:t>
      </w:r>
    </w:p>
    <w:p w14:paraId="79A03667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lastRenderedPageBreak/>
        <w:t>4) </w:t>
      </w:r>
      <w:r w:rsidRPr="007A2787">
        <w:rPr>
          <w:rFonts w:ascii="Arial" w:hAnsi="Arial" w:cs="Arial"/>
          <w:color w:val="000000"/>
          <w:sz w:val="24"/>
          <w:u w:color="000000"/>
        </w:rPr>
        <w:t>w przypadku likwidacji przebiegu sieci uzbrojenia terenu, o których mowa w pkt 2 i 3, zakazy dotyczące strefy kontrolowanej i strefy ograniczonego uż</w:t>
      </w:r>
      <w:r w:rsidRPr="007A2787">
        <w:rPr>
          <w:rFonts w:ascii="Arial" w:hAnsi="Arial" w:cs="Arial"/>
          <w:color w:val="000000"/>
          <w:sz w:val="24"/>
          <w:u w:color="000000"/>
        </w:rPr>
        <w:t>ytkowania nie obowiązują;</w:t>
      </w:r>
    </w:p>
    <w:p w14:paraId="12541292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5) </w:t>
      </w:r>
      <w:r w:rsidRPr="007A2787">
        <w:rPr>
          <w:rFonts w:ascii="Arial" w:hAnsi="Arial" w:cs="Arial"/>
          <w:color w:val="000000"/>
          <w:sz w:val="24"/>
          <w:u w:color="000000"/>
        </w:rPr>
        <w:t>w przypadku przebudowy istniejących lub lokalizacji nowych sieci i urządzeń infrastruktury technicznej, innych niż określone w pkt 3, obowiązują ograniczenia w użytkowaniu zgodnie z przepisami odrębnymi.</w:t>
      </w:r>
    </w:p>
    <w:p w14:paraId="3E5915F9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8. </w:t>
      </w:r>
      <w:r w:rsidRPr="007A2787">
        <w:rPr>
          <w:rFonts w:ascii="Arial" w:hAnsi="Arial" w:cs="Arial"/>
          <w:color w:val="000000"/>
          <w:sz w:val="24"/>
          <w:u w:color="000000"/>
        </w:rPr>
        <w:t>Zasady modernizacji,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rozbudowy i budowy systemów komunikacji:</w:t>
      </w:r>
    </w:p>
    <w:p w14:paraId="7AACCE5D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ustalenia dla terenów dróg określono w Dziale III;</w:t>
      </w:r>
    </w:p>
    <w:p w14:paraId="5275CEFA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stosowanie w ramach jednego terenu jednorodnych pod względem kolorystyki nawierzchni i użytych materiałów dla:</w:t>
      </w:r>
    </w:p>
    <w:p w14:paraId="0C923D24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a) </w:t>
      </w:r>
      <w:r w:rsidRPr="007A2787">
        <w:rPr>
          <w:rFonts w:ascii="Arial" w:hAnsi="Arial" w:cs="Arial"/>
          <w:color w:val="000000"/>
          <w:sz w:val="24"/>
          <w:u w:color="000000"/>
        </w:rPr>
        <w:t>ciągów pieszych,</w:t>
      </w:r>
    </w:p>
    <w:p w14:paraId="61404C44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b)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ścieżek </w:t>
      </w:r>
      <w:r w:rsidRPr="007A2787">
        <w:rPr>
          <w:rFonts w:ascii="Arial" w:hAnsi="Arial" w:cs="Arial"/>
          <w:color w:val="000000"/>
          <w:sz w:val="24"/>
          <w:u w:color="000000"/>
        </w:rPr>
        <w:t>rowerowych.</w:t>
      </w:r>
    </w:p>
    <w:p w14:paraId="7ABAC3C3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9. </w:t>
      </w:r>
      <w:r w:rsidRPr="007A2787">
        <w:rPr>
          <w:rFonts w:ascii="Arial" w:hAnsi="Arial" w:cs="Arial"/>
          <w:color w:val="000000"/>
          <w:sz w:val="24"/>
          <w:u w:color="000000"/>
        </w:rPr>
        <w:t>Zasady modernizacji, rozbudowy i budowy systemów infrastruktury technicznej:</w:t>
      </w:r>
    </w:p>
    <w:p w14:paraId="69F501BB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w zakresie lokalizacji obiektów budowlanych w zbliżeniu do sieci infrastruktury technicznej, obowiązują przepisy odrębne;</w:t>
      </w:r>
    </w:p>
    <w:p w14:paraId="7750405E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powiązanie istniejących i projektowa</w:t>
      </w:r>
      <w:r w:rsidRPr="007A2787">
        <w:rPr>
          <w:rFonts w:ascii="Arial" w:hAnsi="Arial" w:cs="Arial"/>
          <w:color w:val="000000"/>
          <w:sz w:val="24"/>
          <w:u w:color="000000"/>
        </w:rPr>
        <w:t>nych sieci infrastruktury technicznej obszaru planu z układem sieci miejskich realizowane poprzez ich budowę i rozbudowę;</w:t>
      </w:r>
    </w:p>
    <w:p w14:paraId="5CC24364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3) </w:t>
      </w:r>
      <w:r w:rsidRPr="007A2787">
        <w:rPr>
          <w:rFonts w:ascii="Arial" w:hAnsi="Arial" w:cs="Arial"/>
          <w:color w:val="000000"/>
          <w:sz w:val="24"/>
          <w:u w:color="000000"/>
        </w:rPr>
        <w:t>dopuszcza się przebudowę i budowę sieci i urządzeń infrastruktury technicznej, w tym inwestycji celu publicznego z zakresu telekomu</w:t>
      </w:r>
      <w:r w:rsidRPr="007A2787">
        <w:rPr>
          <w:rFonts w:ascii="Arial" w:hAnsi="Arial" w:cs="Arial"/>
          <w:color w:val="000000"/>
          <w:sz w:val="24"/>
          <w:u w:color="000000"/>
        </w:rPr>
        <w:t>nikacji, na całym terenie objętym planem, z uwzględnieniem przepisów odrębnych i ustaleń szczegółowych określonych w niniejszej uchwale;</w:t>
      </w:r>
    </w:p>
    <w:p w14:paraId="23A04D3D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4) </w:t>
      </w:r>
      <w:r w:rsidRPr="007A2787">
        <w:rPr>
          <w:rFonts w:ascii="Arial" w:hAnsi="Arial" w:cs="Arial"/>
          <w:color w:val="000000"/>
          <w:sz w:val="24"/>
          <w:u w:color="000000"/>
        </w:rPr>
        <w:t>dla istniejącego gazociągu wysokiego ciśnienia DN 400 obowiązuje strefa kontrolowana o której mowa w § 5 ust. 7;</w:t>
      </w:r>
    </w:p>
    <w:p w14:paraId="57BFE4F1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5) </w:t>
      </w:r>
      <w:r w:rsidRPr="007A2787">
        <w:rPr>
          <w:rFonts w:ascii="Arial" w:hAnsi="Arial" w:cs="Arial"/>
          <w:color w:val="000000"/>
          <w:sz w:val="24"/>
          <w:u w:color="000000"/>
        </w:rPr>
        <w:t>dopuszcza się podział działek dla obiektów budowlanych związanych z infrastrukturą techniczną;</w:t>
      </w:r>
    </w:p>
    <w:p w14:paraId="77BECBD6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6) </w:t>
      </w:r>
      <w:r w:rsidRPr="007A2787">
        <w:rPr>
          <w:rFonts w:ascii="Arial" w:hAnsi="Arial" w:cs="Arial"/>
          <w:color w:val="000000"/>
          <w:sz w:val="24"/>
          <w:u w:color="000000"/>
        </w:rPr>
        <w:t>zakaz lokalizacji instalacji odnawialnych źródeł energii wykorzystujących siłę wiatru;</w:t>
      </w:r>
    </w:p>
    <w:p w14:paraId="6D9ECC39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7) </w:t>
      </w:r>
      <w:r w:rsidRPr="007A2787">
        <w:rPr>
          <w:rFonts w:ascii="Arial" w:hAnsi="Arial" w:cs="Arial"/>
          <w:color w:val="000000"/>
          <w:sz w:val="24"/>
          <w:u w:color="000000"/>
        </w:rPr>
        <w:t>dopuszcza się lokalizację instalacji z ogniw fotowoltaicznych o mocy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nieprzekraczającej moc </w:t>
      </w:r>
      <w:proofErr w:type="spellStart"/>
      <w:r w:rsidRPr="007A2787">
        <w:rPr>
          <w:rFonts w:ascii="Arial" w:hAnsi="Arial" w:cs="Arial"/>
          <w:color w:val="000000"/>
          <w:sz w:val="24"/>
          <w:u w:color="000000"/>
        </w:rPr>
        <w:t>mikroinstalacji</w:t>
      </w:r>
      <w:proofErr w:type="spellEnd"/>
      <w:r w:rsidRPr="007A2787">
        <w:rPr>
          <w:rFonts w:ascii="Arial" w:hAnsi="Arial" w:cs="Arial"/>
          <w:color w:val="000000"/>
          <w:sz w:val="24"/>
          <w:u w:color="000000"/>
        </w:rPr>
        <w:t xml:space="preserve"> wykorzystywanych dla potrzeb zagospodarowania terenu przewidzianego w niniejszym planie;</w:t>
      </w:r>
    </w:p>
    <w:p w14:paraId="000D8DBD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8) </w:t>
      </w:r>
      <w:r w:rsidRPr="007A2787">
        <w:rPr>
          <w:rFonts w:ascii="Arial" w:hAnsi="Arial" w:cs="Arial"/>
          <w:color w:val="000000"/>
          <w:sz w:val="24"/>
          <w:u w:color="000000"/>
        </w:rPr>
        <w:t>zakaz lokalizowania obiektów, urządzeń i sieci infrastrukturalnych, które powodują przekroczenie dopuszczalnych poziomów pól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elektromagnetycznych określonych w przepisach odrębnych;</w:t>
      </w:r>
    </w:p>
    <w:p w14:paraId="230335D9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9) </w:t>
      </w:r>
      <w:r w:rsidRPr="007A2787">
        <w:rPr>
          <w:rFonts w:ascii="Arial" w:hAnsi="Arial" w:cs="Arial"/>
          <w:color w:val="000000"/>
          <w:sz w:val="24"/>
          <w:u w:color="000000"/>
        </w:rPr>
        <w:t>na całym terenie objętym planem dla nowo realizowanych odcinków dopuszcza się lokalizację wyłącznie podziemnych sieci infrastruktury technicznej.</w:t>
      </w:r>
    </w:p>
    <w:p w14:paraId="4D35836D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10. </w:t>
      </w:r>
      <w:r w:rsidRPr="007A2787">
        <w:rPr>
          <w:rFonts w:ascii="Arial" w:hAnsi="Arial" w:cs="Arial"/>
          <w:color w:val="000000"/>
          <w:sz w:val="24"/>
          <w:u w:color="000000"/>
        </w:rPr>
        <w:t>Ustala się następujące zasady zagospodarowani</w:t>
      </w:r>
      <w:r w:rsidRPr="007A2787">
        <w:rPr>
          <w:rFonts w:ascii="Arial" w:hAnsi="Arial" w:cs="Arial"/>
          <w:color w:val="000000"/>
          <w:sz w:val="24"/>
          <w:u w:color="000000"/>
        </w:rPr>
        <w:t>a i wyposażenia terenów w zakresie obronności i w sytuacjach kryzysowych:</w:t>
      </w:r>
    </w:p>
    <w:p w14:paraId="18FFB98D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obowiązek zapewnienia wykorzystania dróg wewnętrznych oraz terenów łąk, do celów p. </w:t>
      </w:r>
      <w:proofErr w:type="spellStart"/>
      <w:r w:rsidRPr="007A2787">
        <w:rPr>
          <w:rFonts w:ascii="Arial" w:hAnsi="Arial" w:cs="Arial"/>
          <w:color w:val="000000"/>
          <w:sz w:val="24"/>
          <w:u w:color="000000"/>
        </w:rPr>
        <w:t>poż</w:t>
      </w:r>
      <w:proofErr w:type="spellEnd"/>
      <w:r w:rsidRPr="007A2787">
        <w:rPr>
          <w:rFonts w:ascii="Arial" w:hAnsi="Arial" w:cs="Arial"/>
          <w:color w:val="000000"/>
          <w:sz w:val="24"/>
          <w:u w:color="000000"/>
        </w:rPr>
        <w:t>., dla sprzętu ratowniczego i w sytuacjach kryzysowych;</w:t>
      </w:r>
    </w:p>
    <w:p w14:paraId="257E1E9B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lastRenderedPageBreak/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obowiązek zgłoszenia właściwym or</w:t>
      </w:r>
      <w:r w:rsidRPr="007A2787">
        <w:rPr>
          <w:rFonts w:ascii="Arial" w:hAnsi="Arial" w:cs="Arial"/>
          <w:color w:val="000000"/>
          <w:sz w:val="24"/>
          <w:u w:color="000000"/>
        </w:rPr>
        <w:t>ganom nadzoru nad lotnictwem wojskowym wszystkich obiektów o wysokości 50,0 m n.p.t. i większej w celu uzgodnienia lokalizacji i ustalenia sposobu oznakowania przeszkodowego tych obiektów.</w:t>
      </w:r>
    </w:p>
    <w:p w14:paraId="7268E59D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11. </w:t>
      </w:r>
      <w:r w:rsidRPr="007A2787">
        <w:rPr>
          <w:rFonts w:ascii="Arial" w:hAnsi="Arial" w:cs="Arial"/>
          <w:color w:val="000000"/>
          <w:sz w:val="24"/>
          <w:u w:color="000000"/>
        </w:rPr>
        <w:t>Sposób i termin tymczasowego zagospodarowania, urządzania i uży</w:t>
      </w:r>
      <w:r w:rsidRPr="007A2787">
        <w:rPr>
          <w:rFonts w:ascii="Arial" w:hAnsi="Arial" w:cs="Arial"/>
          <w:color w:val="000000"/>
          <w:sz w:val="24"/>
          <w:u w:color="000000"/>
        </w:rPr>
        <w:t>tkowania terenów:</w:t>
      </w:r>
    </w:p>
    <w:p w14:paraId="3D3DB8EA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nie ustala się innego sposobu tymczasowego zagospodarowania aniżeli dotychczasowy.</w:t>
      </w:r>
    </w:p>
    <w:p w14:paraId="03EBACAC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12. </w:t>
      </w:r>
      <w:r w:rsidRPr="007A2787">
        <w:rPr>
          <w:rFonts w:ascii="Arial" w:hAnsi="Arial" w:cs="Arial"/>
          <w:color w:val="000000"/>
          <w:sz w:val="24"/>
          <w:u w:color="000000"/>
        </w:rPr>
        <w:t>Ustala się następującą wysokość jednorazowej opłaty określoną w stosunku procentowym do wzrostu wartości nieruchomości - renta planistyczna, która w</w:t>
      </w:r>
      <w:r w:rsidRPr="007A2787">
        <w:rPr>
          <w:rFonts w:ascii="Arial" w:hAnsi="Arial" w:cs="Arial"/>
          <w:color w:val="000000"/>
          <w:sz w:val="24"/>
          <w:u w:color="000000"/>
        </w:rPr>
        <w:t>ynosi 1%.</w:t>
      </w:r>
    </w:p>
    <w:p w14:paraId="034BF6CA" w14:textId="77777777" w:rsidR="00A77B3E" w:rsidRPr="007A2787" w:rsidRDefault="007A2787" w:rsidP="007A2787">
      <w:pPr>
        <w:keepNext/>
        <w:keepLines/>
        <w:spacing w:line="276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caps/>
          <w:sz w:val="24"/>
        </w:rPr>
        <w:t>Dział III.</w:t>
      </w:r>
      <w:r w:rsidRPr="007A2787">
        <w:rPr>
          <w:rFonts w:ascii="Arial" w:hAnsi="Arial" w:cs="Arial"/>
          <w:color w:val="000000"/>
          <w:sz w:val="24"/>
          <w:u w:color="000000"/>
        </w:rPr>
        <w:br/>
      </w:r>
      <w:r w:rsidRPr="007A2787">
        <w:rPr>
          <w:rFonts w:ascii="Arial" w:hAnsi="Arial" w:cs="Arial"/>
          <w:b/>
          <w:color w:val="000000"/>
          <w:sz w:val="24"/>
          <w:u w:color="000000"/>
        </w:rPr>
        <w:t>USTALENIA SZCZEGÓŁOWE DLA POSZCZEGÓLNYCH TERENÓW</w:t>
      </w:r>
    </w:p>
    <w:p w14:paraId="14474E9F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sz w:val="24"/>
        </w:rPr>
        <w:t>§ 6. </w:t>
      </w:r>
      <w:r w:rsidRPr="007A2787">
        <w:rPr>
          <w:rFonts w:ascii="Arial" w:hAnsi="Arial" w:cs="Arial"/>
          <w:sz w:val="24"/>
        </w:rPr>
        <w:t>1. </w:t>
      </w:r>
      <w:r w:rsidRPr="007A2787">
        <w:rPr>
          <w:rFonts w:ascii="Arial" w:hAnsi="Arial" w:cs="Arial"/>
          <w:color w:val="000000"/>
          <w:sz w:val="24"/>
          <w:u w:color="000000"/>
        </w:rPr>
        <w:t>Wyznacza się tereny oznaczone na rysunku planu symbolem</w:t>
      </w:r>
      <w:r w:rsidRPr="007A2787">
        <w:rPr>
          <w:rFonts w:ascii="Arial" w:hAnsi="Arial" w:cs="Arial"/>
          <w:b/>
          <w:color w:val="000000"/>
          <w:sz w:val="24"/>
          <w:u w:color="000000"/>
        </w:rPr>
        <w:t xml:space="preserve"> 1RŁ, 2RŁ, 3RŁ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– tereny rolnicze, łąki:</w:t>
      </w:r>
    </w:p>
    <w:p w14:paraId="0E9FD5D3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przeznaczenie podstawowe: łąki, pastwiska, zadrzewienia;</w:t>
      </w:r>
    </w:p>
    <w:p w14:paraId="24DAC2A4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przeznaczenie uzupełniające: sieci i urządzenia infrastruktury technicznej, drogi wewnętrzne, ciągi piesze, rowerowe oraz związane z rekreacją, niekubaturowe obiekty rekreacyjne, obiekty mostowe, przepusty, budowle przeciwpowodziowe, hydrotechniczne, zbior</w:t>
      </w:r>
      <w:r w:rsidRPr="007A2787">
        <w:rPr>
          <w:rFonts w:ascii="Arial" w:hAnsi="Arial" w:cs="Arial"/>
          <w:color w:val="000000"/>
          <w:sz w:val="24"/>
          <w:u w:color="000000"/>
        </w:rPr>
        <w:t>niki wodne, stawy, urządzenia melioracji wodnych;</w:t>
      </w:r>
    </w:p>
    <w:p w14:paraId="7769CFE3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3) </w:t>
      </w:r>
      <w:r w:rsidRPr="007A2787">
        <w:rPr>
          <w:rFonts w:ascii="Arial" w:hAnsi="Arial" w:cs="Arial"/>
          <w:color w:val="000000"/>
          <w:sz w:val="24"/>
          <w:u w:color="000000"/>
        </w:rPr>
        <w:t>dopuszcza się budowę stacji transformatorowych o  powierzchni zabudowy do 50 m</w:t>
      </w:r>
      <w:r w:rsidRPr="007A2787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i wysokości do 3,0 m oraz złączy kablowych SN 15 </w:t>
      </w:r>
      <w:proofErr w:type="spellStart"/>
      <w:r w:rsidRPr="007A2787">
        <w:rPr>
          <w:rFonts w:ascii="Arial" w:hAnsi="Arial" w:cs="Arial"/>
          <w:color w:val="000000"/>
          <w:sz w:val="24"/>
          <w:u w:color="000000"/>
        </w:rPr>
        <w:t>kV</w:t>
      </w:r>
      <w:proofErr w:type="spellEnd"/>
      <w:r w:rsidRPr="007A2787">
        <w:rPr>
          <w:rFonts w:ascii="Arial" w:hAnsi="Arial" w:cs="Arial"/>
          <w:color w:val="000000"/>
          <w:sz w:val="24"/>
          <w:u w:color="000000"/>
        </w:rPr>
        <w:t>;</w:t>
      </w:r>
    </w:p>
    <w:p w14:paraId="31592E27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4)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minimalny udział powierzchni biologicznie czynnej w odniesieniu do </w:t>
      </w:r>
      <w:r w:rsidRPr="007A2787">
        <w:rPr>
          <w:rFonts w:ascii="Arial" w:hAnsi="Arial" w:cs="Arial"/>
          <w:color w:val="000000"/>
          <w:sz w:val="24"/>
          <w:u w:color="000000"/>
        </w:rPr>
        <w:t>powierzchni działki budowlanej – 85% przy czym dla działek przeznaczonych pod: stacje transformatorowe, sieci i urządzenia infrastruktury technicznej, drogi wewnętrzne, ciągi piesze, rowerowe oraz związane z rekreacją, obiekty mostowe, przepusty, budowle p</w:t>
      </w:r>
      <w:r w:rsidRPr="007A2787">
        <w:rPr>
          <w:rFonts w:ascii="Arial" w:hAnsi="Arial" w:cs="Arial"/>
          <w:color w:val="000000"/>
          <w:sz w:val="24"/>
          <w:u w:color="000000"/>
        </w:rPr>
        <w:t>rzeciwpowodziowe, hydrotechniczne – 10%;</w:t>
      </w:r>
    </w:p>
    <w:p w14:paraId="454C5D38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5) </w:t>
      </w:r>
      <w:r w:rsidRPr="007A2787">
        <w:rPr>
          <w:rFonts w:ascii="Arial" w:hAnsi="Arial" w:cs="Arial"/>
          <w:color w:val="000000"/>
          <w:sz w:val="24"/>
          <w:u w:color="000000"/>
        </w:rPr>
        <w:t>zakaz lokalizacji miejsc postojowych o nawierzchni utwardzonej.</w:t>
      </w:r>
    </w:p>
    <w:p w14:paraId="1DA0F906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2. </w:t>
      </w:r>
      <w:r w:rsidRPr="007A2787">
        <w:rPr>
          <w:rFonts w:ascii="Arial" w:hAnsi="Arial" w:cs="Arial"/>
          <w:color w:val="000000"/>
          <w:sz w:val="24"/>
          <w:u w:color="000000"/>
        </w:rPr>
        <w:t>Zasady obsługi komunikacyjnej:</w:t>
      </w:r>
    </w:p>
    <w:p w14:paraId="437E2030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dla terenu oznaczonego na rysunku planu symbolem 1RŁ ustala się obsługę komunikacyjną:</w:t>
      </w:r>
    </w:p>
    <w:p w14:paraId="58A5B671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a) </w:t>
      </w:r>
      <w:r w:rsidRPr="007A2787">
        <w:rPr>
          <w:rFonts w:ascii="Arial" w:hAnsi="Arial" w:cs="Arial"/>
          <w:color w:val="000000"/>
          <w:sz w:val="24"/>
          <w:u w:color="000000"/>
        </w:rPr>
        <w:t>z drogi wewnętrznej o</w:t>
      </w:r>
      <w:r w:rsidRPr="007A2787">
        <w:rPr>
          <w:rFonts w:ascii="Arial" w:hAnsi="Arial" w:cs="Arial"/>
          <w:color w:val="000000"/>
          <w:sz w:val="24"/>
          <w:u w:color="000000"/>
        </w:rPr>
        <w:t>znaczonej na rysunku planu symbolem 1KDW,</w:t>
      </w:r>
    </w:p>
    <w:p w14:paraId="6854E131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b) </w:t>
      </w:r>
      <w:r w:rsidRPr="007A2787">
        <w:rPr>
          <w:rFonts w:ascii="Arial" w:hAnsi="Arial" w:cs="Arial"/>
          <w:color w:val="000000"/>
          <w:sz w:val="24"/>
          <w:u w:color="000000"/>
        </w:rPr>
        <w:t>z dróg wewnętrznych, o których mowa w § 6 ust. 1 pkt 2),</w:t>
      </w:r>
    </w:p>
    <w:p w14:paraId="1B501455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c) </w:t>
      </w:r>
      <w:r w:rsidRPr="007A2787">
        <w:rPr>
          <w:rFonts w:ascii="Arial" w:hAnsi="Arial" w:cs="Arial"/>
          <w:color w:val="000000"/>
          <w:sz w:val="24"/>
          <w:u w:color="000000"/>
        </w:rPr>
        <w:t>z drogi publicznej ul. Życzliwej poza obszarem opracowania;</w:t>
      </w:r>
    </w:p>
    <w:p w14:paraId="6A28BA32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dla terenu oznaczonego na rysunku planu symbolem 2RŁ ustala się obsługę komunikacyjną:</w:t>
      </w:r>
    </w:p>
    <w:p w14:paraId="377C0EA5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a</w:t>
      </w:r>
      <w:r w:rsidRPr="007A2787">
        <w:rPr>
          <w:rFonts w:ascii="Arial" w:hAnsi="Arial" w:cs="Arial"/>
          <w:sz w:val="24"/>
        </w:rPr>
        <w:t>) </w:t>
      </w:r>
      <w:r w:rsidRPr="007A2787">
        <w:rPr>
          <w:rFonts w:ascii="Arial" w:hAnsi="Arial" w:cs="Arial"/>
          <w:color w:val="000000"/>
          <w:sz w:val="24"/>
          <w:u w:color="000000"/>
        </w:rPr>
        <w:t>z drogi wewnętrznej oznaczonej na rysunku planu symbolem 3KDW,</w:t>
      </w:r>
    </w:p>
    <w:p w14:paraId="2D4A9ACC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b) </w:t>
      </w:r>
      <w:r w:rsidRPr="007A2787">
        <w:rPr>
          <w:rFonts w:ascii="Arial" w:hAnsi="Arial" w:cs="Arial"/>
          <w:color w:val="000000"/>
          <w:sz w:val="24"/>
          <w:u w:color="000000"/>
        </w:rPr>
        <w:t>z drogi wewnętrznej oznaczonej na rysunku planu symbolem 2KDW,</w:t>
      </w:r>
    </w:p>
    <w:p w14:paraId="22214932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c) </w:t>
      </w:r>
      <w:r w:rsidRPr="007A2787">
        <w:rPr>
          <w:rFonts w:ascii="Arial" w:hAnsi="Arial" w:cs="Arial"/>
          <w:color w:val="000000"/>
          <w:sz w:val="24"/>
          <w:u w:color="000000"/>
        </w:rPr>
        <w:t>z dróg wewnętrznych, o których mowa w § 6 ust. 1 pkt 2),</w:t>
      </w:r>
    </w:p>
    <w:p w14:paraId="7201C8C5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d) </w:t>
      </w:r>
      <w:r w:rsidRPr="007A2787">
        <w:rPr>
          <w:rFonts w:ascii="Arial" w:hAnsi="Arial" w:cs="Arial"/>
          <w:color w:val="000000"/>
          <w:sz w:val="24"/>
          <w:u w:color="000000"/>
        </w:rPr>
        <w:t>z drogi publicznej ul. Życzliwej poza obszarem opracowania;</w:t>
      </w:r>
    </w:p>
    <w:p w14:paraId="498023F4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lastRenderedPageBreak/>
        <w:t>3)</w:t>
      </w:r>
      <w:r w:rsidRPr="007A2787">
        <w:rPr>
          <w:rFonts w:ascii="Arial" w:hAnsi="Arial" w:cs="Arial"/>
          <w:sz w:val="24"/>
        </w:rPr>
        <w:t> </w:t>
      </w:r>
      <w:r w:rsidRPr="007A2787">
        <w:rPr>
          <w:rFonts w:ascii="Arial" w:hAnsi="Arial" w:cs="Arial"/>
          <w:color w:val="000000"/>
          <w:sz w:val="24"/>
          <w:u w:color="000000"/>
        </w:rPr>
        <w:t>dla terenu oznaczonego na rysunku planu symbolem 3RŁ ustala się obsługę komunikacyjną:</w:t>
      </w:r>
    </w:p>
    <w:p w14:paraId="53F0212E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a) </w:t>
      </w:r>
      <w:r w:rsidRPr="007A2787">
        <w:rPr>
          <w:rFonts w:ascii="Arial" w:hAnsi="Arial" w:cs="Arial"/>
          <w:color w:val="000000"/>
          <w:sz w:val="24"/>
          <w:u w:color="000000"/>
        </w:rPr>
        <w:t>z drogi wewnętrznej oznaczonej na rysunku planu symbolem 2KDW,</w:t>
      </w:r>
    </w:p>
    <w:p w14:paraId="3E35BDE0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b) </w:t>
      </w:r>
      <w:r w:rsidRPr="007A2787">
        <w:rPr>
          <w:rFonts w:ascii="Arial" w:hAnsi="Arial" w:cs="Arial"/>
          <w:color w:val="000000"/>
          <w:sz w:val="24"/>
          <w:u w:color="000000"/>
        </w:rPr>
        <w:t>z dróg wewnętrznych, o których mowa w § 6 ust. 1 pkt 2).</w:t>
      </w:r>
    </w:p>
    <w:p w14:paraId="2EC1FDE3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sz w:val="24"/>
        </w:rPr>
        <w:t>§ 7. </w:t>
      </w:r>
      <w:r w:rsidRPr="007A2787">
        <w:rPr>
          <w:rFonts w:ascii="Arial" w:hAnsi="Arial" w:cs="Arial"/>
          <w:sz w:val="24"/>
        </w:rPr>
        <w:t>1. 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Wyznacza się teren oznaczony na rysunku planu symbolem </w:t>
      </w:r>
      <w:r w:rsidRPr="007A2787">
        <w:rPr>
          <w:rFonts w:ascii="Arial" w:hAnsi="Arial" w:cs="Arial"/>
          <w:b/>
          <w:color w:val="000000"/>
          <w:sz w:val="24"/>
          <w:u w:color="000000"/>
        </w:rPr>
        <w:t>1WS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- teren wód powierzchniowych śródlądowych, rzeka </w:t>
      </w:r>
      <w:proofErr w:type="spellStart"/>
      <w:r w:rsidRPr="007A2787">
        <w:rPr>
          <w:rFonts w:ascii="Arial" w:hAnsi="Arial" w:cs="Arial"/>
          <w:color w:val="000000"/>
          <w:sz w:val="24"/>
          <w:u w:color="000000"/>
        </w:rPr>
        <w:t>Wierzejka</w:t>
      </w:r>
      <w:proofErr w:type="spellEnd"/>
      <w:r w:rsidRPr="007A2787">
        <w:rPr>
          <w:rFonts w:ascii="Arial" w:hAnsi="Arial" w:cs="Arial"/>
          <w:color w:val="000000"/>
          <w:sz w:val="24"/>
          <w:u w:color="000000"/>
        </w:rPr>
        <w:t>:</w:t>
      </w:r>
    </w:p>
    <w:p w14:paraId="6335BA31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przeznaczenie podstawowe: teren wód powierzchniowych śródlądowych – rzeka </w:t>
      </w:r>
      <w:proofErr w:type="spellStart"/>
      <w:r w:rsidRPr="007A2787">
        <w:rPr>
          <w:rFonts w:ascii="Arial" w:hAnsi="Arial" w:cs="Arial"/>
          <w:color w:val="000000"/>
          <w:sz w:val="24"/>
          <w:u w:color="000000"/>
        </w:rPr>
        <w:t>Wierzejka</w:t>
      </w:r>
      <w:proofErr w:type="spellEnd"/>
      <w:r w:rsidRPr="007A2787">
        <w:rPr>
          <w:rFonts w:ascii="Arial" w:hAnsi="Arial" w:cs="Arial"/>
          <w:color w:val="000000"/>
          <w:sz w:val="24"/>
          <w:u w:color="000000"/>
        </w:rPr>
        <w:t>;</w:t>
      </w:r>
    </w:p>
    <w:p w14:paraId="1F34C3A4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>przeznaczenie uzupełniające: sieci, obiekty i </w:t>
      </w:r>
      <w:r w:rsidRPr="007A2787">
        <w:rPr>
          <w:rFonts w:ascii="Arial" w:hAnsi="Arial" w:cs="Arial"/>
          <w:color w:val="000000"/>
          <w:sz w:val="24"/>
          <w:u w:color="000000"/>
        </w:rPr>
        <w:t>urządzenia infrastruktury technicznej, przepusty, budowle przeciwpowodziowe, hydrotechniczne, obiekty mostowe;</w:t>
      </w:r>
    </w:p>
    <w:p w14:paraId="46423C40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3) </w:t>
      </w:r>
      <w:r w:rsidRPr="007A2787">
        <w:rPr>
          <w:rFonts w:ascii="Arial" w:hAnsi="Arial" w:cs="Arial"/>
          <w:color w:val="000000"/>
          <w:sz w:val="24"/>
          <w:u w:color="000000"/>
        </w:rPr>
        <w:t>minimalny udział powierzchni biologicznie czynnej w odniesieniu do powierzchni terenu – 85% przy czym dla działek przeznaczonych pod: sieci, o</w:t>
      </w:r>
      <w:r w:rsidRPr="007A2787">
        <w:rPr>
          <w:rFonts w:ascii="Arial" w:hAnsi="Arial" w:cs="Arial"/>
          <w:color w:val="000000"/>
          <w:sz w:val="24"/>
          <w:u w:color="000000"/>
        </w:rPr>
        <w:t>biekty i urządzenia infrastruktury technicznej, obiekty mostowe, przepusty, budowle przeciwpowodziowe, hydrotechniczne – 10%.</w:t>
      </w:r>
    </w:p>
    <w:p w14:paraId="760E3CA3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sz w:val="24"/>
        </w:rPr>
        <w:t>§ 8. </w:t>
      </w:r>
      <w:r w:rsidRPr="007A2787">
        <w:rPr>
          <w:rFonts w:ascii="Arial" w:hAnsi="Arial" w:cs="Arial"/>
          <w:sz w:val="24"/>
        </w:rPr>
        <w:t>1. 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Wyznacza się tereny oznaczone na rysunku planu symbolami </w:t>
      </w:r>
      <w:r w:rsidRPr="007A2787">
        <w:rPr>
          <w:rFonts w:ascii="Arial" w:hAnsi="Arial" w:cs="Arial"/>
          <w:b/>
          <w:color w:val="000000"/>
          <w:sz w:val="24"/>
          <w:u w:color="000000"/>
        </w:rPr>
        <w:t>1KDW, 2KDW, 3KDW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– tereny dróg wewnętrznych.</w:t>
      </w:r>
    </w:p>
    <w:p w14:paraId="1B392DCE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2. </w:t>
      </w:r>
      <w:r w:rsidRPr="007A2787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7B9F0396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1) </w:t>
      </w:r>
      <w:r w:rsidRPr="007A2787">
        <w:rPr>
          <w:rFonts w:ascii="Arial" w:hAnsi="Arial" w:cs="Arial"/>
          <w:color w:val="000000"/>
          <w:sz w:val="24"/>
          <w:u w:color="000000"/>
        </w:rPr>
        <w:t>szerokość pasa drogowego w liniach rozgraniczających:</w:t>
      </w:r>
    </w:p>
    <w:p w14:paraId="1E5983D6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a) </w:t>
      </w:r>
      <w:r w:rsidRPr="007A2787">
        <w:rPr>
          <w:rFonts w:ascii="Arial" w:hAnsi="Arial" w:cs="Arial"/>
          <w:color w:val="000000"/>
          <w:sz w:val="24"/>
          <w:u w:color="000000"/>
        </w:rPr>
        <w:t>teren drogi wewnętrznej oznaczony na rysunku symbolem 1KDW od 5,0 m do 5,1 m zgodnie z rysunkiem planu,</w:t>
      </w:r>
    </w:p>
    <w:p w14:paraId="6B236369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b) </w:t>
      </w:r>
      <w:r w:rsidRPr="007A2787">
        <w:rPr>
          <w:rFonts w:ascii="Arial" w:hAnsi="Arial" w:cs="Arial"/>
          <w:color w:val="000000"/>
          <w:sz w:val="24"/>
          <w:u w:color="000000"/>
        </w:rPr>
        <w:t>t</w:t>
      </w:r>
      <w:r w:rsidRPr="007A2787">
        <w:rPr>
          <w:rFonts w:ascii="Arial" w:hAnsi="Arial" w:cs="Arial"/>
          <w:color w:val="000000"/>
          <w:sz w:val="24"/>
          <w:u w:color="000000"/>
        </w:rPr>
        <w:t>eren drogi wewnętrznej oznaczony na rysunku symbolem 2KDW od 5,0 m do 6,6 m zgodnie z rysunkiem planu,</w:t>
      </w:r>
    </w:p>
    <w:p w14:paraId="47A9959A" w14:textId="77777777" w:rsidR="00A77B3E" w:rsidRPr="007A2787" w:rsidRDefault="007A2787" w:rsidP="007A2787">
      <w:pPr>
        <w:keepLines/>
        <w:spacing w:before="120" w:after="120" w:line="276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c) </w:t>
      </w:r>
      <w:r w:rsidRPr="007A2787">
        <w:rPr>
          <w:rFonts w:ascii="Arial" w:hAnsi="Arial" w:cs="Arial"/>
          <w:color w:val="000000"/>
          <w:sz w:val="24"/>
          <w:u w:color="000000"/>
        </w:rPr>
        <w:t>teren drogi wewnętrznej oznaczony na rysunku symbolem 3KDW od 5,0 m do 9,2 m zgodnie z rysunkiem planu;</w:t>
      </w:r>
    </w:p>
    <w:p w14:paraId="4FDD027F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2) 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przeznaczenie podstawowe: drogi wewnętrzne </w:t>
      </w:r>
      <w:r w:rsidRPr="007A2787">
        <w:rPr>
          <w:rFonts w:ascii="Arial" w:hAnsi="Arial" w:cs="Arial"/>
          <w:color w:val="000000"/>
          <w:sz w:val="24"/>
          <w:u w:color="000000"/>
        </w:rPr>
        <w:t>wraz z obiektami i urządzeniami związanymi z prowadzeniem, zabezpieczeniem i obsługą ruchu drogowego;</w:t>
      </w:r>
    </w:p>
    <w:p w14:paraId="6CB59BE6" w14:textId="77777777" w:rsidR="00A77B3E" w:rsidRPr="007A2787" w:rsidRDefault="007A2787" w:rsidP="007A2787">
      <w:pPr>
        <w:spacing w:before="120" w:after="120" w:line="276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sz w:val="24"/>
        </w:rPr>
        <w:t>3) </w:t>
      </w:r>
      <w:r w:rsidRPr="007A2787">
        <w:rPr>
          <w:rFonts w:ascii="Arial" w:hAnsi="Arial" w:cs="Arial"/>
          <w:color w:val="000000"/>
          <w:sz w:val="24"/>
          <w:u w:color="000000"/>
        </w:rPr>
        <w:t>przeznaczenie uzupełniające: sieci, obiekty i urządzenia infrastruktury technicznej, obiekty mostowe, przepusty, budowle przeciwpowodziowe, ciągi piesz</w:t>
      </w:r>
      <w:r w:rsidRPr="007A2787">
        <w:rPr>
          <w:rFonts w:ascii="Arial" w:hAnsi="Arial" w:cs="Arial"/>
          <w:color w:val="000000"/>
          <w:sz w:val="24"/>
          <w:u w:color="000000"/>
        </w:rPr>
        <w:t>e i rowerowe.</w:t>
      </w:r>
    </w:p>
    <w:p w14:paraId="0E2AB7A0" w14:textId="77777777" w:rsidR="00A77B3E" w:rsidRPr="007A2787" w:rsidRDefault="007A2787" w:rsidP="007A2787">
      <w:pPr>
        <w:keepNext/>
        <w:spacing w:line="276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caps/>
          <w:sz w:val="24"/>
        </w:rPr>
        <w:t>Dział IV.</w:t>
      </w:r>
      <w:r w:rsidRPr="007A2787">
        <w:rPr>
          <w:rFonts w:ascii="Arial" w:hAnsi="Arial" w:cs="Arial"/>
          <w:color w:val="000000"/>
          <w:sz w:val="24"/>
          <w:u w:color="000000"/>
        </w:rPr>
        <w:br/>
      </w:r>
      <w:r w:rsidRPr="007A2787">
        <w:rPr>
          <w:rFonts w:ascii="Arial" w:hAnsi="Arial" w:cs="Arial"/>
          <w:b/>
          <w:color w:val="000000"/>
          <w:sz w:val="24"/>
          <w:u w:color="000000"/>
        </w:rPr>
        <w:t>USTALENIA KOŃCOWE</w:t>
      </w:r>
    </w:p>
    <w:p w14:paraId="17D32C5A" w14:textId="77777777" w:rsidR="00A77B3E" w:rsidRPr="007A2787" w:rsidRDefault="007A2787" w:rsidP="007A2787">
      <w:pPr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sz w:val="24"/>
        </w:rPr>
        <w:t>§ 9. </w:t>
      </w:r>
      <w:r w:rsidRPr="007A2787">
        <w:rPr>
          <w:rFonts w:ascii="Arial" w:hAnsi="Arial" w:cs="Arial"/>
          <w:color w:val="000000"/>
          <w:sz w:val="24"/>
          <w:u w:color="000000"/>
        </w:rPr>
        <w:t>Uchwała podlega ogłoszeniu w Dzienniku Urzędowym Województwa Łódzkiego i na stronie internetowej Miasta Piotrkowa Trybunalskiego.</w:t>
      </w:r>
    </w:p>
    <w:p w14:paraId="1B592727" w14:textId="77777777" w:rsidR="00A77B3E" w:rsidRPr="007A2787" w:rsidRDefault="007A2787" w:rsidP="007A2787">
      <w:pPr>
        <w:keepNext/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sz w:val="24"/>
        </w:rPr>
        <w:lastRenderedPageBreak/>
        <w:t>§ 10. </w:t>
      </w:r>
      <w:r w:rsidRPr="007A2787">
        <w:rPr>
          <w:rFonts w:ascii="Arial" w:hAnsi="Arial" w:cs="Arial"/>
          <w:color w:val="000000"/>
          <w:sz w:val="24"/>
          <w:u w:color="000000"/>
        </w:rPr>
        <w:t>Uchwała wchodzi w życie po upływie 14 dni od dnia ogłoszenia jej w Dzienn</w:t>
      </w:r>
      <w:r w:rsidRPr="007A2787">
        <w:rPr>
          <w:rFonts w:ascii="Arial" w:hAnsi="Arial" w:cs="Arial"/>
          <w:color w:val="000000"/>
          <w:sz w:val="24"/>
          <w:u w:color="000000"/>
        </w:rPr>
        <w:t>iku Urzędowym Województwa Łódzkiego.</w:t>
      </w:r>
    </w:p>
    <w:p w14:paraId="463FCE52" w14:textId="77777777" w:rsidR="00A77B3E" w:rsidRPr="007A2787" w:rsidRDefault="00A77B3E" w:rsidP="007A2787">
      <w:pPr>
        <w:keepNext/>
        <w:keepLines/>
        <w:spacing w:before="120" w:after="120" w:line="276" w:lineRule="auto"/>
        <w:ind w:firstLine="340"/>
        <w:rPr>
          <w:rFonts w:ascii="Arial" w:hAnsi="Arial" w:cs="Arial"/>
          <w:color w:val="000000"/>
          <w:sz w:val="24"/>
          <w:u w:color="000000"/>
        </w:rPr>
      </w:pPr>
    </w:p>
    <w:p w14:paraId="18DB00C0" w14:textId="77777777" w:rsidR="00A77B3E" w:rsidRPr="007A2787" w:rsidRDefault="007A2787" w:rsidP="007A2787">
      <w:pPr>
        <w:keepNext/>
        <w:spacing w:line="276" w:lineRule="auto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color w:val="000000"/>
          <w:sz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B07078" w:rsidRPr="007A2787" w14:paraId="6A7EA701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B87AE0" w14:textId="77777777" w:rsidR="00B07078" w:rsidRPr="007A2787" w:rsidRDefault="00B07078" w:rsidP="007A2787">
            <w:pPr>
              <w:keepNext/>
              <w:keepLines/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4EB4E5" w14:textId="52FA4D8B" w:rsidR="00B07078" w:rsidRPr="007A2787" w:rsidRDefault="007A2787" w:rsidP="007A2787">
            <w:pPr>
              <w:keepNext/>
              <w:keepLines/>
              <w:spacing w:before="560" w:after="560" w:line="276" w:lineRule="auto"/>
              <w:ind w:left="452" w:right="1134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7A2787">
              <w:rPr>
                <w:rFonts w:ascii="Arial" w:hAnsi="Arial" w:cs="Arial"/>
                <w:color w:val="000000"/>
                <w:sz w:val="24"/>
              </w:rPr>
              <w:t>Przewodniczący Rady Miasta</w:t>
            </w:r>
            <w:r w:rsidRPr="007A2787">
              <w:rPr>
                <w:rFonts w:ascii="Arial" w:hAnsi="Arial" w:cs="Arial"/>
                <w:color w:val="000000"/>
                <w:sz w:val="24"/>
              </w:rPr>
              <w:br/>
            </w:r>
            <w:r w:rsidRPr="007A2787">
              <w:rPr>
                <w:rFonts w:ascii="Arial" w:hAnsi="Arial" w:cs="Arial"/>
                <w:color w:val="000000"/>
                <w:sz w:val="24"/>
              </w:rPr>
              <w:br/>
            </w:r>
            <w:r w:rsidRPr="007A2787">
              <w:rPr>
                <w:rFonts w:ascii="Arial" w:hAnsi="Arial" w:cs="Arial"/>
                <w:b/>
                <w:sz w:val="24"/>
              </w:rPr>
              <w:t>Marian Błaszczyński</w:t>
            </w:r>
          </w:p>
        </w:tc>
      </w:tr>
    </w:tbl>
    <w:p w14:paraId="17D9CE32" w14:textId="77777777" w:rsidR="00A77B3E" w:rsidRPr="007A2787" w:rsidRDefault="00A77B3E" w:rsidP="007A2787">
      <w:pPr>
        <w:keepNext/>
        <w:spacing w:line="276" w:lineRule="auto"/>
        <w:rPr>
          <w:rFonts w:ascii="Arial" w:hAnsi="Arial" w:cs="Arial"/>
          <w:color w:val="000000"/>
          <w:sz w:val="24"/>
          <w:u w:color="000000"/>
        </w:rPr>
        <w:sectPr w:rsidR="00A77B3E" w:rsidRPr="007A2787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19C81F2C" w14:textId="77777777" w:rsidR="00A77B3E" w:rsidRPr="007A2787" w:rsidRDefault="007A2787" w:rsidP="007A2787">
      <w:pPr>
        <w:spacing w:before="120" w:after="120" w:line="276" w:lineRule="auto"/>
        <w:ind w:left="5143"/>
        <w:jc w:val="left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7A2787">
        <w:rPr>
          <w:rFonts w:ascii="Arial" w:hAnsi="Arial" w:cs="Arial"/>
          <w:color w:val="000000"/>
          <w:sz w:val="24"/>
          <w:u w:color="000000"/>
        </w:rPr>
        <w:fldChar w:fldCharType="separate"/>
      </w:r>
      <w:r w:rsidRPr="007A2787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7A2787">
        <w:rPr>
          <w:rFonts w:ascii="Arial" w:hAnsi="Arial" w:cs="Arial"/>
          <w:color w:val="000000"/>
          <w:sz w:val="24"/>
          <w:u w:color="000000"/>
        </w:rPr>
        <w:t>Załącznik Nr 1 do uchwały Nr XLIII/543/21</w:t>
      </w:r>
      <w:r w:rsidRPr="007A2787">
        <w:rPr>
          <w:rFonts w:ascii="Arial" w:hAnsi="Arial" w:cs="Arial"/>
          <w:color w:val="000000"/>
          <w:sz w:val="24"/>
          <w:u w:color="000000"/>
        </w:rPr>
        <w:br/>
        <w:t xml:space="preserve">Rady </w:t>
      </w:r>
      <w:r w:rsidRPr="007A2787">
        <w:rPr>
          <w:rFonts w:ascii="Arial" w:hAnsi="Arial" w:cs="Arial"/>
          <w:color w:val="000000"/>
          <w:sz w:val="24"/>
          <w:u w:color="000000"/>
        </w:rPr>
        <w:t>Miasta Piotrkowa Trybunalskiego</w:t>
      </w:r>
      <w:r w:rsidRPr="007A2787">
        <w:rPr>
          <w:rFonts w:ascii="Arial" w:hAnsi="Arial" w:cs="Arial"/>
          <w:color w:val="000000"/>
          <w:sz w:val="24"/>
          <w:u w:color="000000"/>
        </w:rPr>
        <w:br/>
        <w:t>z dnia 29 września 2021 r.</w:t>
      </w:r>
    </w:p>
    <w:p w14:paraId="2D6087A5" w14:textId="77777777" w:rsidR="00A77B3E" w:rsidRPr="007A2787" w:rsidRDefault="007A2787" w:rsidP="007A2787">
      <w:pPr>
        <w:spacing w:before="120" w:after="120" w:line="276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noProof/>
          <w:color w:val="000000"/>
          <w:sz w:val="24"/>
          <w:u w:color="000000"/>
        </w:rPr>
        <w:lastRenderedPageBreak/>
        <w:drawing>
          <wp:inline distT="0" distB="0" distL="0" distR="0" wp14:anchorId="4307FB5B" wp14:editId="2442A3BC">
            <wp:extent cx="6265259" cy="8857509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5259" cy="885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0824E" w14:textId="77777777" w:rsidR="00A77B3E" w:rsidRPr="007A2787" w:rsidRDefault="007A2787" w:rsidP="007A2787">
      <w:pPr>
        <w:spacing w:before="120" w:after="120" w:line="276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noProof/>
          <w:color w:val="000000"/>
          <w:sz w:val="24"/>
          <w:u w:color="000000"/>
        </w:rPr>
        <w:lastRenderedPageBreak/>
        <w:drawing>
          <wp:inline distT="0" distB="0" distL="0" distR="0" wp14:anchorId="2B901653" wp14:editId="51B53C60">
            <wp:extent cx="6267777" cy="8861069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E179" w14:textId="77777777" w:rsidR="00A77B3E" w:rsidRPr="007A2787" w:rsidRDefault="007A2787" w:rsidP="007A2787">
      <w:pPr>
        <w:spacing w:before="120" w:after="120" w:line="276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noProof/>
          <w:color w:val="000000"/>
          <w:sz w:val="24"/>
          <w:u w:color="000000"/>
        </w:rPr>
        <w:lastRenderedPageBreak/>
        <w:drawing>
          <wp:inline distT="0" distB="0" distL="0" distR="0" wp14:anchorId="30DA20FE" wp14:editId="3B307C40">
            <wp:extent cx="6267777" cy="8861069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B19A" w14:textId="77777777" w:rsidR="00A77B3E" w:rsidRPr="007A2787" w:rsidRDefault="007A2787" w:rsidP="007A2787">
      <w:pPr>
        <w:spacing w:before="120" w:after="120" w:line="276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noProof/>
          <w:color w:val="000000"/>
          <w:sz w:val="24"/>
          <w:u w:color="000000"/>
        </w:rPr>
        <w:lastRenderedPageBreak/>
        <w:drawing>
          <wp:inline distT="0" distB="0" distL="0" distR="0" wp14:anchorId="4E1B8422" wp14:editId="10A8E0E0">
            <wp:extent cx="6267777" cy="8861069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34832" w14:textId="77777777" w:rsidR="00A77B3E" w:rsidRPr="007A2787" w:rsidRDefault="007A2787" w:rsidP="007A2787">
      <w:pPr>
        <w:spacing w:before="120" w:after="120" w:line="276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noProof/>
          <w:color w:val="000000"/>
          <w:sz w:val="24"/>
          <w:u w:color="000000"/>
        </w:rPr>
        <w:lastRenderedPageBreak/>
        <w:drawing>
          <wp:inline distT="0" distB="0" distL="0" distR="0" wp14:anchorId="39C7A0A8" wp14:editId="3A6B181C">
            <wp:extent cx="6257158" cy="8857129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7158" cy="885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8BB1" w14:textId="77777777" w:rsidR="00A77B3E" w:rsidRPr="007A2787" w:rsidRDefault="00A77B3E" w:rsidP="007A2787">
      <w:pPr>
        <w:spacing w:before="120" w:after="120" w:line="276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  <w:sectPr w:rsidR="00A77B3E" w:rsidRPr="007A2787">
          <w:footerReference w:type="default" r:id="rId17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5F8CE3DC" w14:textId="77777777" w:rsidR="00A77B3E" w:rsidRPr="007A2787" w:rsidRDefault="007A2787" w:rsidP="007A2787">
      <w:pPr>
        <w:keepNext/>
        <w:spacing w:before="120" w:after="120" w:line="276" w:lineRule="auto"/>
        <w:ind w:left="5143"/>
        <w:jc w:val="left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7A2787">
        <w:rPr>
          <w:rFonts w:ascii="Arial" w:hAnsi="Arial" w:cs="Arial"/>
          <w:color w:val="000000"/>
          <w:sz w:val="24"/>
          <w:u w:color="000000"/>
        </w:rPr>
        <w:fldChar w:fldCharType="separate"/>
      </w:r>
      <w:r w:rsidRPr="007A2787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7A2787">
        <w:rPr>
          <w:rFonts w:ascii="Arial" w:hAnsi="Arial" w:cs="Arial"/>
          <w:color w:val="000000"/>
          <w:sz w:val="24"/>
          <w:u w:color="000000"/>
        </w:rPr>
        <w:t>Załącznik Nr 2 do uchwały Nr XLIII/543/21</w:t>
      </w:r>
      <w:r w:rsidRPr="007A2787">
        <w:rPr>
          <w:rFonts w:ascii="Arial" w:hAnsi="Arial" w:cs="Arial"/>
          <w:color w:val="000000"/>
          <w:sz w:val="24"/>
          <w:u w:color="000000"/>
        </w:rPr>
        <w:br/>
        <w:t xml:space="preserve">Rady Miasta Piotrkowa </w:t>
      </w:r>
      <w:r w:rsidRPr="007A2787">
        <w:rPr>
          <w:rFonts w:ascii="Arial" w:hAnsi="Arial" w:cs="Arial"/>
          <w:color w:val="000000"/>
          <w:sz w:val="24"/>
          <w:u w:color="000000"/>
        </w:rPr>
        <w:t>Trybunalskiego</w:t>
      </w:r>
      <w:r w:rsidRPr="007A2787">
        <w:rPr>
          <w:rFonts w:ascii="Arial" w:hAnsi="Arial" w:cs="Arial"/>
          <w:color w:val="000000"/>
          <w:sz w:val="24"/>
          <w:u w:color="000000"/>
        </w:rPr>
        <w:br/>
        <w:t>z dnia 29 września 2021 r.</w:t>
      </w:r>
    </w:p>
    <w:p w14:paraId="3B0E519A" w14:textId="77777777" w:rsidR="00A77B3E" w:rsidRPr="007A2787" w:rsidRDefault="007A2787" w:rsidP="007A2787">
      <w:pPr>
        <w:keepNext/>
        <w:spacing w:after="480" w:line="276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color w:val="000000"/>
          <w:sz w:val="24"/>
          <w:u w:color="000000"/>
        </w:rPr>
        <w:t>ROZSTRZYGNIĘCIE DOTYCZĄCE SPOSOBU ROZPATRZENIA UWAG ZGŁOSZONYCH DO PROJEKTU PLANU MIEJSCOWEGO</w:t>
      </w:r>
    </w:p>
    <w:p w14:paraId="2F5D6341" w14:textId="77777777" w:rsidR="00A77B3E" w:rsidRPr="007A2787" w:rsidRDefault="007A2787" w:rsidP="007A2787">
      <w:pPr>
        <w:keepLines/>
        <w:spacing w:before="120" w:after="120" w:line="276" w:lineRule="auto"/>
        <w:ind w:firstLine="227"/>
        <w:rPr>
          <w:rFonts w:ascii="Arial" w:hAnsi="Arial" w:cs="Arial"/>
          <w:color w:val="000000"/>
          <w:sz w:val="24"/>
          <w:u w:color="000000"/>
        </w:rPr>
        <w:sectPr w:rsidR="00A77B3E" w:rsidRPr="007A2787">
          <w:footerReference w:type="default" r:id="rId18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 w:rsidRPr="007A2787">
        <w:rPr>
          <w:rFonts w:ascii="Arial" w:hAnsi="Arial" w:cs="Arial"/>
          <w:color w:val="000000"/>
          <w:sz w:val="24"/>
          <w:u w:color="000000"/>
        </w:rPr>
        <w:t>Na podstawie art. 20 </w:t>
      </w:r>
      <w:r w:rsidRPr="007A2787">
        <w:rPr>
          <w:rFonts w:ascii="Arial" w:hAnsi="Arial" w:cs="Arial"/>
          <w:color w:val="000000"/>
          <w:sz w:val="24"/>
          <w:u w:color="000000"/>
        </w:rPr>
        <w:t>ust. 1 ustawy dnia 27 marca 2003 r. o planowaniu i zagospodarowaniu przestrzennym (tj. Dz. U. z 2021 r. poz. 741, 784, 922) Rada Miasta Piotrkowa Trybunalskiego stwierdza, że w ustawowym terminie po wyłożeniu do publicznego wglądu projektu miejscowego plan</w:t>
      </w:r>
      <w:r w:rsidRPr="007A2787">
        <w:rPr>
          <w:rFonts w:ascii="Arial" w:hAnsi="Arial" w:cs="Arial"/>
          <w:color w:val="000000"/>
          <w:sz w:val="24"/>
          <w:u w:color="000000"/>
        </w:rPr>
        <w:t>u zagospodarowania przestrzennego w rejonie ulicy Życzliwej oraz rzeki Wierzejki w Piotrkowie Trybunalskim, nie wniesiono uwag do projektu planu miejscowego.</w:t>
      </w:r>
    </w:p>
    <w:p w14:paraId="2CB57414" w14:textId="77777777" w:rsidR="00A77B3E" w:rsidRPr="007A2787" w:rsidRDefault="007A2787" w:rsidP="007A2787">
      <w:pPr>
        <w:keepNext/>
        <w:spacing w:before="120" w:after="120" w:line="276" w:lineRule="auto"/>
        <w:ind w:left="5143"/>
        <w:jc w:val="left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7A2787">
        <w:rPr>
          <w:rFonts w:ascii="Arial" w:hAnsi="Arial" w:cs="Arial"/>
          <w:color w:val="000000"/>
          <w:sz w:val="24"/>
          <w:u w:color="000000"/>
        </w:rPr>
        <w:fldChar w:fldCharType="separate"/>
      </w:r>
      <w:r w:rsidRPr="007A2787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7A2787">
        <w:rPr>
          <w:rFonts w:ascii="Arial" w:hAnsi="Arial" w:cs="Arial"/>
          <w:color w:val="000000"/>
          <w:sz w:val="24"/>
          <w:u w:color="000000"/>
        </w:rPr>
        <w:t>Załącznik Nr 3 do uchwały Nr XLIII/543/21</w:t>
      </w:r>
      <w:r w:rsidRPr="007A2787">
        <w:rPr>
          <w:rFonts w:ascii="Arial" w:hAnsi="Arial" w:cs="Arial"/>
          <w:color w:val="000000"/>
          <w:sz w:val="24"/>
          <w:u w:color="000000"/>
        </w:rPr>
        <w:br/>
        <w:t>Rady Miasta Piotrkowa Trybunalskiego</w:t>
      </w:r>
      <w:r w:rsidRPr="007A2787">
        <w:rPr>
          <w:rFonts w:ascii="Arial" w:hAnsi="Arial" w:cs="Arial"/>
          <w:color w:val="000000"/>
          <w:sz w:val="24"/>
          <w:u w:color="000000"/>
        </w:rPr>
        <w:br/>
        <w:t>z dnia 29 wrześn</w:t>
      </w:r>
      <w:r w:rsidRPr="007A2787">
        <w:rPr>
          <w:rFonts w:ascii="Arial" w:hAnsi="Arial" w:cs="Arial"/>
          <w:color w:val="000000"/>
          <w:sz w:val="24"/>
          <w:u w:color="000000"/>
        </w:rPr>
        <w:t>ia 2021 r.</w:t>
      </w:r>
    </w:p>
    <w:p w14:paraId="4832F756" w14:textId="77777777" w:rsidR="00A77B3E" w:rsidRPr="007A2787" w:rsidRDefault="007A2787" w:rsidP="007A2787">
      <w:pPr>
        <w:keepNext/>
        <w:spacing w:after="480" w:line="276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color w:val="000000"/>
          <w:sz w:val="24"/>
          <w:u w:color="000000"/>
        </w:rPr>
        <w:t>ROZSTRZYGNIĘCIE DOTYCZĄCE SPOSOBU REALIZACJI ZAPISANYCH</w:t>
      </w:r>
      <w:r w:rsidRPr="007A2787">
        <w:rPr>
          <w:rFonts w:ascii="Arial" w:hAnsi="Arial" w:cs="Arial"/>
          <w:b/>
          <w:color w:val="000000"/>
          <w:sz w:val="24"/>
          <w:u w:color="000000"/>
        </w:rPr>
        <w:br/>
        <w:t>W PLANIE MIEJSCOWYM INWESTYCJI Z ZAKRESU INFRASTRUKTURY TECHNICZNEJ, KTÓRE NALEŻĄ DO ZADAŃ WŁASNYCH GMINY ORAZ ZASADACH ICH FINANSOWANIA, ZGODNIE Z PRZEPISAMI O FINANSACH PUBLICZNYCH</w:t>
      </w:r>
    </w:p>
    <w:p w14:paraId="66477070" w14:textId="77777777" w:rsidR="00A77B3E" w:rsidRPr="007A2787" w:rsidRDefault="007A2787" w:rsidP="007A2787">
      <w:pPr>
        <w:keepLines/>
        <w:spacing w:before="120" w:after="120" w:line="276" w:lineRule="auto"/>
        <w:ind w:firstLine="227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color w:val="000000"/>
          <w:sz w:val="24"/>
          <w:u w:color="000000"/>
        </w:rPr>
        <w:t>Zgodni</w:t>
      </w:r>
      <w:r w:rsidRPr="007A2787">
        <w:rPr>
          <w:rFonts w:ascii="Arial" w:hAnsi="Arial" w:cs="Arial"/>
          <w:color w:val="000000"/>
          <w:sz w:val="24"/>
          <w:u w:color="000000"/>
        </w:rPr>
        <w:t>e z art. 7 ust.1 ustawy z dnia 8 marca 1990 r. o samorządzie gminnym (tj. Dz. U. z 2020 r. poz. 713, 1378 z 2021 r. poz. 1038) w związku z uchwaleniem miejscowego planu zagospodarowania przestrzennego w rejonie ulicy Życzliwej oraz rzeki Wierzejki w Piotrk</w:t>
      </w:r>
      <w:r w:rsidRPr="007A2787">
        <w:rPr>
          <w:rFonts w:ascii="Arial" w:hAnsi="Arial" w:cs="Arial"/>
          <w:color w:val="000000"/>
          <w:sz w:val="24"/>
          <w:u w:color="000000"/>
        </w:rPr>
        <w:t>owie Trybunalskim zostaną wprowadzone zasady ochrony środowiska i przyrody oraz gospodarki wodnej dając możliwość wprowadzenia racjonalnej polityki przestrzennej opartej na zasadach zrównoważonego rozwoju i ładu przestrzennego.</w:t>
      </w:r>
    </w:p>
    <w:p w14:paraId="5DB15C7E" w14:textId="77777777" w:rsidR="00A77B3E" w:rsidRPr="007A2787" w:rsidRDefault="007A2787" w:rsidP="007A2787">
      <w:pPr>
        <w:spacing w:before="120" w:after="120" w:line="276" w:lineRule="auto"/>
        <w:ind w:left="283" w:firstLine="227"/>
        <w:rPr>
          <w:rFonts w:ascii="Arial" w:hAnsi="Arial" w:cs="Arial"/>
          <w:color w:val="000000"/>
          <w:sz w:val="24"/>
          <w:u w:color="000000"/>
        </w:rPr>
        <w:sectPr w:rsidR="00A77B3E" w:rsidRPr="007A2787">
          <w:footerReference w:type="default" r:id="rId1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 w:rsidRPr="007A2787">
        <w:rPr>
          <w:rFonts w:ascii="Arial" w:hAnsi="Arial" w:cs="Arial"/>
          <w:color w:val="000000"/>
          <w:sz w:val="24"/>
          <w:u w:color="000000"/>
        </w:rPr>
        <w:t xml:space="preserve">Zgodnie z opracowaną prognozą skutków finansowych dla projektu miejscowego planu zagospodarowania przestrzennego w rejonie ulicy Życzliwej oraz rzeki Wierzejki w Piotrkowie </w:t>
      </w:r>
      <w:r w:rsidRPr="007A2787">
        <w:rPr>
          <w:rFonts w:ascii="Arial" w:hAnsi="Arial" w:cs="Arial"/>
          <w:color w:val="000000"/>
          <w:sz w:val="24"/>
          <w:u w:color="000000"/>
        </w:rPr>
        <w:t>Trybunalskim, ustalenia projektowanego planu nie generują wydatków związanych z jego uchwaleniem.</w:t>
      </w:r>
    </w:p>
    <w:p w14:paraId="78362583" w14:textId="7170A439" w:rsidR="00A77B3E" w:rsidRPr="007A2787" w:rsidRDefault="007A2787" w:rsidP="007A2787">
      <w:pPr>
        <w:keepNext/>
        <w:spacing w:before="280" w:after="280" w:line="276" w:lineRule="auto"/>
        <w:ind w:left="4535"/>
        <w:jc w:val="left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7A2787">
        <w:rPr>
          <w:rFonts w:ascii="Arial" w:hAnsi="Arial" w:cs="Arial"/>
          <w:color w:val="000000"/>
          <w:sz w:val="24"/>
          <w:u w:color="000000"/>
        </w:rPr>
        <w:fldChar w:fldCharType="separate"/>
      </w:r>
      <w:r w:rsidRPr="007A2787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7A2787">
        <w:rPr>
          <w:rFonts w:ascii="Arial" w:hAnsi="Arial" w:cs="Arial"/>
          <w:sz w:val="24"/>
        </w:rPr>
        <w:t>Załącznik Nr 4 do uchwały</w:t>
      </w:r>
      <w:r w:rsidRPr="007A2787">
        <w:rPr>
          <w:rFonts w:ascii="Arial" w:hAnsi="Arial" w:cs="Arial"/>
          <w:color w:val="000000"/>
          <w:sz w:val="24"/>
          <w:u w:color="000000"/>
        </w:rPr>
        <w:t xml:space="preserve"> Nr XLIII/543/21</w:t>
      </w:r>
      <w:r w:rsidRPr="007A2787">
        <w:rPr>
          <w:rFonts w:ascii="Arial" w:hAnsi="Arial" w:cs="Arial"/>
          <w:color w:val="000000"/>
          <w:sz w:val="24"/>
          <w:u w:color="000000"/>
        </w:rPr>
        <w:br/>
      </w:r>
      <w:r w:rsidRPr="007A2787">
        <w:rPr>
          <w:rFonts w:ascii="Arial" w:hAnsi="Arial" w:cs="Arial"/>
          <w:sz w:val="24"/>
        </w:rPr>
        <w:t>Rady Miasta Piotrkowa Trybunalskiego</w:t>
      </w:r>
      <w:r w:rsidRPr="007A2787">
        <w:rPr>
          <w:rFonts w:ascii="Arial" w:hAnsi="Arial" w:cs="Arial"/>
          <w:color w:val="000000"/>
          <w:sz w:val="24"/>
          <w:u w:color="000000"/>
        </w:rPr>
        <w:br/>
      </w:r>
      <w:r w:rsidRPr="007A2787">
        <w:rPr>
          <w:rFonts w:ascii="Arial" w:hAnsi="Arial" w:cs="Arial"/>
          <w:sz w:val="24"/>
        </w:rPr>
        <w:t>z dnia 29 września 2021 r.</w:t>
      </w:r>
      <w:r w:rsidRPr="007A2787">
        <w:rPr>
          <w:rFonts w:ascii="Arial" w:hAnsi="Arial" w:cs="Arial"/>
          <w:color w:val="000000"/>
          <w:sz w:val="24"/>
          <w:u w:color="000000"/>
        </w:rPr>
        <w:br/>
      </w:r>
      <w:hyperlink r:id="rId20" w:history="1">
        <w:r w:rsidRPr="007A2787">
          <w:rPr>
            <w:rStyle w:val="Hipercze"/>
            <w:rFonts w:ascii="Arial" w:hAnsi="Arial" w:cs="Arial"/>
            <w:color w:val="000000"/>
            <w:sz w:val="24"/>
            <w:u w:val="none" w:color="000000"/>
          </w:rPr>
          <w:t>Zalacznik4.gml</w:t>
        </w:r>
      </w:hyperlink>
    </w:p>
    <w:p w14:paraId="504A0754" w14:textId="77777777" w:rsidR="00A77B3E" w:rsidRPr="007A2787" w:rsidRDefault="007A2787" w:rsidP="007A2787">
      <w:pPr>
        <w:keepNext/>
        <w:spacing w:after="480" w:line="276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7A2787">
        <w:rPr>
          <w:rFonts w:ascii="Arial" w:hAnsi="Arial" w:cs="Arial"/>
          <w:b/>
          <w:color w:val="000000"/>
          <w:sz w:val="24"/>
          <w:u w:color="000000"/>
        </w:rPr>
        <w:t>Dane przestrzenne, o których mowa w art. 67a ust. 3 i 5 ustawy z dnia 27 marca 2003 r. o planowaniu i zagospodarowaniu przestrzennym (j.t. Dz.U. z 2020 r. poz. 293 z </w:t>
      </w:r>
      <w:proofErr w:type="spellStart"/>
      <w:r w:rsidRPr="007A2787">
        <w:rPr>
          <w:rFonts w:ascii="Arial" w:hAnsi="Arial" w:cs="Arial"/>
          <w:b/>
          <w:color w:val="000000"/>
          <w:sz w:val="24"/>
          <w:u w:color="000000"/>
        </w:rPr>
        <w:t>późn</w:t>
      </w:r>
      <w:proofErr w:type="spellEnd"/>
      <w:r w:rsidRPr="007A2787">
        <w:rPr>
          <w:rFonts w:ascii="Arial" w:hAnsi="Arial" w:cs="Arial"/>
          <w:b/>
          <w:color w:val="000000"/>
          <w:sz w:val="24"/>
          <w:u w:color="000000"/>
        </w:rPr>
        <w:t>. zm.) ujawnione zostaną po kliknięciu w ikonę</w:t>
      </w:r>
    </w:p>
    <w:sectPr w:rsidR="00A77B3E" w:rsidRPr="007A2787">
      <w:footerReference w:type="default" r:id="rId21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B38E2" w14:textId="77777777" w:rsidR="00000000" w:rsidRDefault="007A2787">
      <w:r>
        <w:separator/>
      </w:r>
    </w:p>
  </w:endnote>
  <w:endnote w:type="continuationSeparator" w:id="0">
    <w:p w14:paraId="19291CDA" w14:textId="77777777" w:rsidR="00000000" w:rsidRDefault="007A2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B07078" w14:paraId="1CF93B15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5355DE8" w14:textId="77777777" w:rsidR="00B07078" w:rsidRDefault="007A2787">
          <w:pPr>
            <w:jc w:val="left"/>
            <w:rPr>
              <w:sz w:val="18"/>
            </w:rPr>
          </w:pPr>
          <w:r>
            <w:rPr>
              <w:sz w:val="18"/>
            </w:rPr>
            <w:t>Id: AB9C7454-5F8E-4AD7-958F-FAA0A5AE0E3B.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B606B17" w14:textId="77777777" w:rsidR="00B07078" w:rsidRDefault="007A278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05C536C" w14:textId="77777777" w:rsidR="00B07078" w:rsidRDefault="00B07078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B07078" w14:paraId="2E6D1276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E328E90" w14:textId="77777777" w:rsidR="00B07078" w:rsidRDefault="007A2787">
          <w:pPr>
            <w:jc w:val="left"/>
            <w:rPr>
              <w:sz w:val="18"/>
            </w:rPr>
          </w:pPr>
          <w:r>
            <w:rPr>
              <w:sz w:val="18"/>
            </w:rPr>
            <w:t>Id: AB9C7454-5F8E-4AD7-958F-FAA0A5AE0E3B.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4940ABF" w14:textId="05F9D6F6" w:rsidR="00B07078" w:rsidRDefault="007A278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96A00E0" w14:textId="77777777" w:rsidR="00B07078" w:rsidRDefault="00B07078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B07078" w14:paraId="1D0C2DA6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2816C03" w14:textId="77777777" w:rsidR="00B07078" w:rsidRDefault="007A2787">
          <w:pPr>
            <w:jc w:val="left"/>
            <w:rPr>
              <w:sz w:val="18"/>
            </w:rPr>
          </w:pPr>
          <w:r>
            <w:rPr>
              <w:sz w:val="18"/>
            </w:rPr>
            <w:t>Id: AB9C7454-5F8E-4AD7-958F-FAA0A5AE0E3B.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A1970E0" w14:textId="5CB83F68" w:rsidR="00B07078" w:rsidRDefault="007A278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73FFED6" w14:textId="77777777" w:rsidR="00B07078" w:rsidRDefault="00B07078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B07078" w14:paraId="1C7D1FAC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A56CDA2" w14:textId="77777777" w:rsidR="00B07078" w:rsidRDefault="007A2787">
          <w:pPr>
            <w:jc w:val="left"/>
            <w:rPr>
              <w:sz w:val="18"/>
            </w:rPr>
          </w:pPr>
          <w:r>
            <w:rPr>
              <w:sz w:val="18"/>
            </w:rPr>
            <w:t>Id: AB9C7454-5F8E-4AD7-958F</w:t>
          </w:r>
          <w:r>
            <w:rPr>
              <w:sz w:val="18"/>
            </w:rPr>
            <w:t>-FAA0A5AE0E3B.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F1B7C52" w14:textId="236560C9" w:rsidR="00B07078" w:rsidRDefault="007A278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734C0B6" w14:textId="77777777" w:rsidR="00B07078" w:rsidRDefault="00B07078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B07078" w14:paraId="2F939DFC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109368E" w14:textId="77777777" w:rsidR="00B07078" w:rsidRDefault="007A2787">
          <w:pPr>
            <w:jc w:val="left"/>
            <w:rPr>
              <w:sz w:val="18"/>
            </w:rPr>
          </w:pPr>
          <w:r>
            <w:rPr>
              <w:sz w:val="18"/>
            </w:rPr>
            <w:t>Id: AB9C7454-5F8E-4AD7-958F-FAA0A5AE0E</w:t>
          </w:r>
          <w:r>
            <w:rPr>
              <w:sz w:val="18"/>
            </w:rPr>
            <w:t>3B.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97EC68C" w14:textId="033EB6FF" w:rsidR="00B07078" w:rsidRDefault="007A278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D209E12" w14:textId="77777777" w:rsidR="00B07078" w:rsidRDefault="00B07078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8C429" w14:textId="77777777" w:rsidR="00000000" w:rsidRDefault="007A2787">
      <w:r>
        <w:separator/>
      </w:r>
    </w:p>
  </w:footnote>
  <w:footnote w:type="continuationSeparator" w:id="0">
    <w:p w14:paraId="24B67E03" w14:textId="77777777" w:rsidR="00000000" w:rsidRDefault="007A27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7A2787"/>
    <w:rsid w:val="00A77B3E"/>
    <w:rsid w:val="00B07078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16584F"/>
  <w15:docId w15:val="{D2A9E3F1-ABE5-4B77-BF36-1A9CDC4D0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A4B165E8-5209-4B0C-B453-2F22802D62E8.jpg" TargetMode="Externa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image" Target="Zalacznik4B3FCD03-4B0B-4090-BE58-33DFD04158B5.jpg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Zalacznik3873C037-56A0-405D-8A12-481A7058A861.jpg" TargetMode="External"/><Relationship Id="rId20" Type="http://schemas.openxmlformats.org/officeDocument/2006/relationships/hyperlink" Target="file:///C:\Users\Jarzebska_M\ezdpuw\20211006141450731\Zalacznik4.gml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Zalacznik6BA9CE8A-9788-4290-89CD-C9C6EF00EC2C.jpg" TargetMode="External"/><Relationship Id="rId19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E0488FBB-C4ED-4CC1-9DD6-11B88262F2B0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2645</Words>
  <Characters>15874</Characters>
  <Application>Microsoft Office Word</Application>
  <DocSecurity>4</DocSecurity>
  <Lines>132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18483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XLIII/543/21 z dnia 29 września 2021 r.</dc:title>
  <dc:subject>w sprawie miejscowego planu zagospodarowania przestrzennego w^rejonie ulicy Życzliwej oraz rzeki Wierzejki w^Piotrkowie Trybunalskim</dc:subject>
  <dc:creator>Mroz_M</dc:creator>
  <cp:lastModifiedBy>Jarzębska Monika</cp:lastModifiedBy>
  <cp:revision>2</cp:revision>
  <dcterms:created xsi:type="dcterms:W3CDTF">2021-10-06T12:21:00Z</dcterms:created>
  <dcterms:modified xsi:type="dcterms:W3CDTF">2021-10-06T12:21:00Z</dcterms:modified>
  <cp:category>Akt prawny</cp:category>
</cp:coreProperties>
</file>