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98" w:rsidRPr="008003FC" w:rsidRDefault="004A1598" w:rsidP="004A1598">
      <w:pPr>
        <w:pStyle w:val="MiejscowoData"/>
      </w:pPr>
      <w:bookmarkStart w:id="0" w:name="_GoBack"/>
      <w:bookmarkEnd w:id="0"/>
      <w:r w:rsidRPr="008003FC">
        <w:t xml:space="preserve">Piotrków Trybunalski, </w:t>
      </w:r>
      <w:bookmarkStart w:id="1" w:name="ezdDataPodpisu"/>
      <w:r w:rsidRPr="008003FC">
        <w:t>12-07-2021</w:t>
      </w:r>
      <w:bookmarkEnd w:id="1"/>
    </w:p>
    <w:p w:rsidR="004A1598" w:rsidRPr="0079256F" w:rsidRDefault="004A1598" w:rsidP="004A1598">
      <w:pPr>
        <w:pStyle w:val="Piecztka1"/>
        <w:ind w:left="0"/>
        <w:jc w:val="both"/>
        <w:rPr>
          <w:sz w:val="24"/>
          <w:szCs w:val="24"/>
        </w:rPr>
      </w:pPr>
      <w:r w:rsidRPr="0079256F">
        <w:rPr>
          <w:sz w:val="24"/>
          <w:szCs w:val="24"/>
        </w:rPr>
        <w:t>PREZYDENT MIASTA</w:t>
      </w:r>
    </w:p>
    <w:p w:rsidR="004A1598" w:rsidRPr="0079256F" w:rsidRDefault="004A1598" w:rsidP="004A1598">
      <w:pPr>
        <w:pStyle w:val="Piecztka1"/>
        <w:ind w:left="0"/>
        <w:jc w:val="both"/>
        <w:rPr>
          <w:sz w:val="24"/>
          <w:szCs w:val="24"/>
        </w:rPr>
      </w:pPr>
      <w:r w:rsidRPr="0079256F">
        <w:rPr>
          <w:sz w:val="24"/>
          <w:szCs w:val="24"/>
        </w:rPr>
        <w:t>PIOTRKOWA TRYBUNALSKIEGO</w:t>
      </w:r>
    </w:p>
    <w:p w:rsidR="004A1598" w:rsidRDefault="004A1598" w:rsidP="004A1598">
      <w:pPr>
        <w:pStyle w:val="Piecztka2"/>
      </w:pPr>
    </w:p>
    <w:p w:rsidR="004A1598" w:rsidRDefault="004A1598" w:rsidP="004A1598">
      <w:pPr>
        <w:pStyle w:val="Znaksprawy"/>
      </w:pPr>
      <w:bookmarkStart w:id="2" w:name="ezdSprawaZnak"/>
      <w:r>
        <w:t>PKW.1711.16.2020</w:t>
      </w:r>
      <w:bookmarkEnd w:id="2"/>
    </w:p>
    <w:sdt>
      <w:sdtPr>
        <w:id w:val="-1446689327"/>
        <w:placeholder>
          <w:docPart w:val="00012CB5760E4081B565AAD63075F37B"/>
        </w:placeholder>
        <w:text w:multiLine="1"/>
      </w:sdtPr>
      <w:sdtEndPr/>
      <w:sdtContent>
        <w:p w:rsidR="004A1598" w:rsidRPr="00CA6629" w:rsidRDefault="004A1598" w:rsidP="004A1598">
          <w:pPr>
            <w:pStyle w:val="Adresat"/>
            <w:spacing w:after="680"/>
          </w:pPr>
          <w:r w:rsidRPr="00800F8D">
            <w:t>Pan Robert Bednarek</w:t>
          </w:r>
          <w:r>
            <w:br/>
          </w:r>
          <w:r w:rsidRPr="00800F8D">
            <w:t xml:space="preserve">Dyrektor Szkoły Podstawowej nr 16 </w:t>
          </w:r>
          <w:r>
            <w:br/>
          </w:r>
          <w:r w:rsidRPr="00800F8D">
            <w:t>w Piotrkowie Trybunalskim,</w:t>
          </w:r>
          <w:r>
            <w:br/>
          </w:r>
          <w:r w:rsidRPr="00800F8D">
            <w:t xml:space="preserve">im. Polskich Olimpijczyków </w:t>
          </w:r>
          <w:r>
            <w:br/>
          </w:r>
          <w:r w:rsidRPr="00800F8D">
            <w:t>ul. Krakowskie Przedmieście 11</w:t>
          </w:r>
          <w:r>
            <w:br/>
          </w:r>
          <w:r w:rsidRPr="00800F8D">
            <w:t>97-300 Piotrków Trybunalski</w:t>
          </w:r>
        </w:p>
      </w:sdtContent>
    </w:sdt>
    <w:bookmarkStart w:id="3" w:name="_Hlk61333269" w:displacedByCustomXml="next"/>
    <w:sdt>
      <w:sdtPr>
        <w:rPr>
          <w:szCs w:val="24"/>
        </w:rPr>
        <w:id w:val="1891846534"/>
        <w:placeholder>
          <w:docPart w:val="9F2E9CF6CCEE4A648071672DE8B661D8"/>
        </w:placeholder>
      </w:sdtPr>
      <w:sdtEndPr/>
      <w:sdtContent>
        <w:sdt>
          <w:sdtPr>
            <w:rPr>
              <w:szCs w:val="24"/>
            </w:rPr>
            <w:id w:val="994917044"/>
            <w:placeholder>
              <w:docPart w:val="AE8A4A7482DD482B967A22824399A63E"/>
            </w:placeholder>
          </w:sdtPr>
          <w:sdtEndPr/>
          <w:sdtContent>
            <w:p w:rsidR="004A1598" w:rsidRPr="00785A79" w:rsidRDefault="004A1598" w:rsidP="004A1598">
              <w:pPr>
                <w:jc w:val="center"/>
                <w:rPr>
                  <w:rFonts w:cs="Arial"/>
                </w:rPr>
              </w:pPr>
              <w:r>
                <w:rPr>
                  <w:szCs w:val="24"/>
                </w:rPr>
                <w:br/>
              </w:r>
              <w:r w:rsidRPr="00785A79">
                <w:rPr>
                  <w:rFonts w:cs="Arial"/>
                </w:rPr>
                <w:t>WYSTĄPIENIE POKONTROLNE</w:t>
              </w:r>
            </w:p>
            <w:p w:rsidR="004A1598" w:rsidRPr="00785A79" w:rsidRDefault="004A1598" w:rsidP="004A1598">
              <w:pPr>
                <w:jc w:val="center"/>
                <w:rPr>
                  <w:rFonts w:cs="Arial"/>
                </w:rPr>
              </w:pP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>Działając na podstawie § 11 ust. 1 Regulaminu przeprowadzania kontroli przez pracowników Biura Kontroli Urzędu Miasta Piotrkowa Trybunalskiego, stanowiącego Załącznik do Zarządzenia Nr 16 Prezydenta Miasta Piotrkowa Trybunalskiego z dnia 22.01.2020 r., Dariusz Kaflak – Inspektor w Biurze Kontroli, przeprowadził w Szkole Podstawowej nr 16 im. Polskich Olimpijczyków planową kontrolę przestrzegania przez jednostkę w 2019 r. zasad rozliczania podatku o</w:t>
              </w:r>
              <w:r>
                <w:rPr>
                  <w:rFonts w:cs="Arial"/>
                </w:rPr>
                <w:t>d towarów i usług określonych w </w:t>
              </w:r>
              <w:r w:rsidRPr="00785A79">
                <w:rPr>
                  <w:rFonts w:cs="Arial"/>
                </w:rPr>
                <w:t>zarządzeniu Prezydenta Miasta Piotrkowa Trybunalskiego w sprawie zasad centralizacji rozliczeń podatku od towarów i usług obowiązujących w Mieście Piotrków Trybunalski</w:t>
              </w:r>
              <w:r>
                <w:rPr>
                  <w:rStyle w:val="Odwoanieprzypisudolnego"/>
                  <w:rFonts w:cs="Arial"/>
                </w:rPr>
                <w:footnoteReference w:id="1"/>
              </w:r>
              <w:r w:rsidRPr="00785A79">
                <w:rPr>
                  <w:rFonts w:cs="Arial"/>
                </w:rPr>
                <w:t xml:space="preserve">. </w:t>
              </w:r>
              <w:r w:rsidRPr="00785A79">
                <w:rPr>
                  <w:rFonts w:cs="Arial"/>
                </w:rPr>
                <w:lastRenderedPageBreak/>
                <w:t>Kontrola trwała od 29.12.2020 r. do 12.02.2020 r. a jej wyniki zawarte zostały w protokole, który został omówiony i podpis</w:t>
              </w:r>
              <w:r>
                <w:rPr>
                  <w:rFonts w:cs="Arial"/>
                </w:rPr>
                <w:t>any przez Pana bez zastrzeżeń w </w:t>
              </w:r>
              <w:r w:rsidRPr="00785A79">
                <w:rPr>
                  <w:rFonts w:cs="Arial"/>
                </w:rPr>
                <w:t xml:space="preserve">dniu 28.04.2021 r. 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>Zgodnie z § 22 ust. 2 i 5 przywołanego Regulaminu, przekazuję Panu niniejsze wystąpienie pokontrolne zawierające ocenę kontrolo</w:t>
              </w:r>
              <w:r>
                <w:rPr>
                  <w:rFonts w:cs="Arial"/>
                </w:rPr>
                <w:t>wanej działalności wynikającą z ustaleń kontroli, a </w:t>
              </w:r>
              <w:r w:rsidRPr="00785A79">
                <w:rPr>
                  <w:rFonts w:cs="Arial"/>
                </w:rPr>
                <w:t>także jej najistotniejsze ustalenia,</w:t>
              </w:r>
              <w:r>
                <w:rPr>
                  <w:rFonts w:cs="Arial"/>
                </w:rPr>
                <w:t xml:space="preserve"> stwierdzone nieprawidłowości i </w:t>
              </w:r>
              <w:r w:rsidRPr="00785A79">
                <w:rPr>
                  <w:rFonts w:cs="Arial"/>
                </w:rPr>
                <w:t xml:space="preserve">uchybienia ze wskazaniem naruszonych norm oraz zalecenia w sprawie ich usunięcia. 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>W ramach czynności kontrolnych sprawdzono, czy k</w:t>
              </w:r>
              <w:r>
                <w:rPr>
                  <w:rFonts w:cs="Arial"/>
                </w:rPr>
                <w:t>ierowana przez Pana jednostka w </w:t>
              </w:r>
              <w:r w:rsidRPr="00785A79">
                <w:rPr>
                  <w:rFonts w:cs="Arial"/>
                </w:rPr>
                <w:t xml:space="preserve">okresie objętym kontrolą prawidłowo realizowała </w:t>
              </w:r>
              <w:r>
                <w:rPr>
                  <w:rFonts w:cs="Arial"/>
                </w:rPr>
                <w:t>obowiązki wynikające z ustawy z </w:t>
              </w:r>
              <w:r w:rsidRPr="00785A79">
                <w:rPr>
                  <w:rFonts w:cs="Arial"/>
                </w:rPr>
                <w:t>dnia 11.03.2004 r. o podatku od towarów i usług</w:t>
              </w:r>
              <w:r>
                <w:rPr>
                  <w:rStyle w:val="Odwoanieprzypisudolnego"/>
                  <w:rFonts w:cs="Arial"/>
                </w:rPr>
                <w:footnoteReference w:id="2"/>
              </w:r>
              <w:r w:rsidRPr="00785A79">
                <w:rPr>
                  <w:rFonts w:cs="Arial"/>
                </w:rPr>
                <w:t xml:space="preserve"> oraz z regul</w:t>
              </w:r>
              <w:r>
                <w:rPr>
                  <w:rFonts w:cs="Arial"/>
                </w:rPr>
                <w:t>acji wewnętrznych określonych w </w:t>
              </w:r>
              <w:r w:rsidRPr="00785A79">
                <w:rPr>
                  <w:rFonts w:cs="Arial"/>
                </w:rPr>
                <w:t>zarządzeniach Prezydenta Miasta Piotrkowa Trybunalskiego w sprawie zasad centralizacji rozliczeń podatku od towar</w:t>
              </w:r>
              <w:r>
                <w:rPr>
                  <w:rFonts w:cs="Arial"/>
                </w:rPr>
                <w:t>ów i usług VAT obowiązujących w </w:t>
              </w:r>
              <w:r w:rsidRPr="00785A79">
                <w:rPr>
                  <w:rFonts w:cs="Arial"/>
                </w:rPr>
                <w:t>Mieście Piotrków Trybunalski.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 xml:space="preserve">Szczegółową kontrolą objęto następujące zagadnienia: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1"/>
                </w:numPr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Organizacja jednostki i wybrane uregulowania wewnętrzne: statut, regulamin organizacyjny jednostki, powierzenie obowiązków i odpowiedzialności Głównemu księgowemu jednostki, zakresy zadań i obowiązków służbowych wybranych pracowników, delegowanie (powierzanie) pracownikom jednostki uprawnień w zakresie gospodarki finansowej i rachunkowości oraz w zakresie zadań wynikających z procedur scentralizowanego rozliczania podatku VAT w Mieście Piotrków Trybunalski.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1"/>
                </w:numPr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Zasady rachunkowości, głównie w odniesieniu do przyjętych zasad funkcjonowania kont związanych z rozliczaniem podatku od towarów i usług.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1"/>
                </w:numPr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Przestrzeganie wymogów określonych przepisami ustawy o podatku od towarów i usług</w:t>
              </w:r>
              <w:r>
                <w:rPr>
                  <w:rStyle w:val="Odwoanieprzypisudolnego"/>
                  <w:rFonts w:ascii="Arial" w:hAnsi="Arial" w:cs="Arial"/>
                  <w:sz w:val="24"/>
                </w:rPr>
                <w:footnoteReference w:id="3"/>
              </w:r>
              <w:r w:rsidRPr="00785A79">
                <w:rPr>
                  <w:rFonts w:ascii="Arial" w:hAnsi="Arial" w:cs="Arial"/>
                  <w:sz w:val="24"/>
                </w:rPr>
                <w:t xml:space="preserve"> odnoszących się do sposobu ustalania pre-współczynnika i wskaźnika struktury sprzedaży na rok 2019 oraz dokonywania korekt kwoty podatku naliczonego odliczonej przy nabyciu towarów i usług dla celów działalności gospodarczej.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1"/>
                </w:numPr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lastRenderedPageBreak/>
                <w:t>Sprzedaż usług w jednostce, zawieranie umów najmu w imieniu i na rzecz Miasta</w:t>
              </w:r>
              <w:r>
                <w:rPr>
                  <w:rStyle w:val="Odwoanieprzypisudolnego"/>
                  <w:rFonts w:ascii="Arial" w:hAnsi="Arial" w:cs="Arial"/>
                  <w:sz w:val="24"/>
                </w:rPr>
                <w:footnoteReference w:id="4"/>
              </w:r>
              <w:r w:rsidRPr="00785A79">
                <w:rPr>
                  <w:rFonts w:ascii="Arial" w:hAnsi="Arial" w:cs="Arial"/>
                  <w:sz w:val="24"/>
                </w:rPr>
                <w:t>, prowadzenie ewidencji wynajmów, ustalanie i pobieranie należności cywilnoprawnych, wystawianie faktur VAT z tytułu świadczonych usług najmu.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1"/>
                </w:numPr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Obieg i kontrola faktur zakupu zawierających podatek VAT podlegający odliczeniu, ich zakwalifikowanie do ujęcia w księgach rachunkowych oraz rzetelność danych ujmowanych w cząstkowym rejestrze zakupu.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1"/>
                </w:numPr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Prowadzenie cząstkowych rejestrów zakupów i sprzedaży, terminowość sporządzania deklaracji cząstkowych VAT oraz </w:t>
              </w:r>
              <w:r w:rsidRPr="00785A79">
                <w:rPr>
                  <w:rFonts w:ascii="Arial" w:eastAsia="Times New Roman" w:hAnsi="Arial" w:cs="Arial"/>
                  <w:sz w:val="24"/>
                </w:rPr>
                <w:t>przekazywania należnego podatku VAT na rachunek Miasta Piotrkowa Trybunalskiego.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1"/>
                </w:numPr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Prowadzenie ewidencji księgowej dla potrzeb rozliczania podatku VAT.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>W świetle ustaleń wynikających z przeprowadzonej kontroli, działalność jednostki w ww. obszarach ocenia się pozytywnie z zastrzeżeniami wobec stwierdzonych nieprawidłowości i uchybień, omówionych szczegółowo w dalszej części niniejszego wystąpienia.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>W obszarze obejmującym organizację jednostki i środowisko wewnętrzne – wskazać należy, że jako Dyrektor szkoły, wypełnił Pan obowiązki o których mowa w ust. 35 i 41 rozdziału VII Psrp VAT</w:t>
              </w:r>
              <w:r>
                <w:rPr>
                  <w:rStyle w:val="Odwoanieprzypisudolnego"/>
                  <w:rFonts w:cs="Arial"/>
                </w:rPr>
                <w:footnoteReference w:id="5"/>
              </w:r>
              <w:r w:rsidRPr="00785A79">
                <w:rPr>
                  <w:rFonts w:cs="Arial"/>
                </w:rPr>
                <w:t xml:space="preserve">. Kontrola wykazała, że kierownik jednostki i główny księgowy przyjęli na piśmie odpowiedzialność za prawidłowe, rzetelne i terminowe: </w:t>
              </w:r>
              <w:r w:rsidRPr="00785A79">
                <w:rPr>
                  <w:rFonts w:eastAsia="Times New Roman" w:cs="Arial"/>
                </w:rPr>
                <w:t>prowadzenie ewidencji (cząstkowych rejestrów zakupu i sprzedaży jednostki) d</w:t>
              </w:r>
              <w:r>
                <w:rPr>
                  <w:rFonts w:eastAsia="Times New Roman" w:cs="Arial"/>
                </w:rPr>
                <w:t>la potrzeb podatku od towarów i </w:t>
              </w:r>
              <w:r w:rsidRPr="00785A79">
                <w:rPr>
                  <w:rFonts w:eastAsia="Times New Roman" w:cs="Arial"/>
                </w:rPr>
                <w:t xml:space="preserve">usług, sporządzanie cząstkowej deklaracji VAT (lub korekty deklaracji) za dany okres rozliczeniowy, terminowe przekazywanie środków finansowych na zapłatę podatku VAT. </w:t>
              </w:r>
              <w:r w:rsidRPr="00785A79">
                <w:rPr>
                  <w:rFonts w:cs="Arial"/>
                </w:rPr>
                <w:t>Dyrektor szkoły wyznaczył osobę odpowiedzialną za sporządzenie i prawidłowość rozliczeń tego podatku, określił na piśmie zakres jej obowiązków służbowych, jak też wskazał osobę do kontaktu z Referatem Księgowości Urzędu Miasta Piotrkowa Trybunalskiego (pełniącego funkcję Jednostki Centralnej) oraz do uczestnictwa w</w:t>
              </w:r>
              <w:r>
                <w:rPr>
                  <w:rFonts w:cs="Arial"/>
                </w:rPr>
                <w:t xml:space="preserve"> czynnościach wyjaśniających, </w:t>
              </w:r>
              <w:r>
                <w:rPr>
                  <w:rFonts w:cs="Arial"/>
                </w:rPr>
                <w:lastRenderedPageBreak/>
                <w:t>w </w:t>
              </w:r>
              <w:r w:rsidRPr="00785A79">
                <w:rPr>
                  <w:rFonts w:cs="Arial"/>
                </w:rPr>
                <w:t xml:space="preserve">przypadku kontroli podatkowo-skarbowej. Zastrzeżenia kontroli w obszarze organizacji jednostki i środowiska wewnętrznego dotyczą w szczególności: niedostosowania w pełni polityki (zasad) rachunkowości jednostki do wymogów procedury Psrp VAT, głównie w zakresie obowiązkowego utworzenia analitycznych kont księgowych do konta 130 Rachunek bieżący jednostki, nieopisania zasad funkcjonowania kont związanych z rozliczeniem VAT, delegowania uprawnień innym pracownikom szkoły w sposób nieprecyzyjny i niespełniający standardów kontroli zarządczej, a także niespójności przepisów wewnętrznych w zakresie dokumentowania przeprowadzenia kontroli dowodów księgowych. 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>Kontrola wykazała również, że jednostka nie dostosowała się w pełni do przepisów art. 90 ust. 2 i nast. ustawy o podatku od towarów i usług oraz rozdziału III lit. C Psrp VAT przy obliczaniu wartości wskaźnika struktury sprzedaży oraz § 3 ust. 3 rozporządzenia Ministra Finansów z dnia 17.12.2015 r.</w:t>
              </w:r>
              <w:r>
                <w:rPr>
                  <w:rFonts w:cs="Arial"/>
                  <w:vertAlign w:val="superscript"/>
                </w:rPr>
                <w:footnoteReference w:id="6"/>
              </w:r>
              <w:r w:rsidRPr="00785A79">
                <w:rPr>
                  <w:rFonts w:cs="Arial"/>
                </w:rPr>
                <w:t xml:space="preserve"> przy obliczaniu wartości prewskaźnika – dla potrzeb odliczania podatku VAT naliczonego w 2019 r. (w oparciu o dane z 2018 r.). Jednak w uwagi na to, że metoda obliczenia każdej z wymienionych proporcji przewiduje zaokrąglanie uzyskanego wyniku procentowego w ułamku dziesiętnym w górę, do pełnej liczby całkowitej, stwierdzona różnica nie wpłynęła na wysokość przyjętych przez jednostkę proporcji. 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>W okresie objętym kontrolą, jednostka realizowała sprzedaż usług opodatkowaną podatkiem VAT. Umowy zawierane były w imieniu Miasta przez Dyrektora szkoły, działającego na podstawie pełnomocnictwa udzielonego przez Prezydenta Miasta. Kontrola wykazała nieprawidłowości i uchybienia przy zawieraniu umów, będące głównie skutkiem nieprzestrzegania w pełni zarządzenia w sprawie zasad wynajmu m.in.: przy sporządzaniu kalkulacji kosztów ponoszonych w związku z wynajmem pomieszczeń szkolnych, prowadzeniu ewidencji korzystania przez najemcę z pomieszczeń szkoły, a także nieprawidłowości związane z określaniem w umowach praw i obowiązków stron w sposób nieprecyzyjny i niejasny.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 xml:space="preserve">Kontrola w zakresie dokumentowania sprzedaży wykazała, że dowody księgowe (faktury) dokumentujące sprzedaż opodatkowaną z tytułu świadczonych usług zawierały elementy, </w:t>
              </w:r>
              <w:r w:rsidRPr="00785A79">
                <w:rPr>
                  <w:rFonts w:cs="Arial"/>
                </w:rPr>
                <w:lastRenderedPageBreak/>
                <w:t xml:space="preserve">o których mowa w ust. 3 Rozdziału VI litera A Psrp VAT (w zakresie jakim powinny odpowiadać faktury wystawiane z tytułu świadczonych usług najmu). Zastrzeżenia kontroli dotyczą sprzedaży zwolnionej, dokumentowanej zbiorczymi dokumentami sprzedaży niefakturowanej, w związku z zawyżeniem wartości sprzedaży w m-cu styczniu 2019 r. oraz niewykazaniem </w:t>
              </w:r>
              <w:r w:rsidRPr="00785A79">
                <w:rPr>
                  <w:rFonts w:cs="Arial"/>
                </w:rPr>
                <w:br/>
                <w:t>w m-cu lipcu 2019 r. sprzedaży w związku z wydaniem duplikatu legityma</w:t>
              </w:r>
              <w:r>
                <w:rPr>
                  <w:rFonts w:cs="Arial"/>
                </w:rPr>
                <w:t>cji szkolnej i </w:t>
              </w:r>
              <w:r w:rsidRPr="00785A79">
                <w:rPr>
                  <w:rFonts w:cs="Arial"/>
                </w:rPr>
                <w:t>ujęciem</w:t>
              </w:r>
              <w:r w:rsidRPr="00785A79">
                <w:rPr>
                  <w:rFonts w:cs="Arial"/>
                </w:rPr>
                <w:br/>
                <w:t>w deklaracjach cząstkowych za te miesiące danych niezgodnych ze stanem w księgach rachunkowych jednostki.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0"/>
                <w:contextualSpacing w:val="0"/>
                <w:jc w:val="both"/>
                <w:rPr>
                  <w:rFonts w:ascii="Arial" w:eastAsia="Times New Roman" w:hAnsi="Arial" w:cs="Arial"/>
                  <w:sz w:val="24"/>
                </w:rPr>
              </w:pPr>
              <w:r w:rsidRPr="00785A79">
                <w:rPr>
                  <w:rFonts w:ascii="Arial" w:eastAsia="Times New Roman" w:hAnsi="Arial" w:cs="Arial"/>
                  <w:sz w:val="24"/>
                </w:rPr>
                <w:t>Jednostka prowadziła ewidencję sprzedaży, w której ujmowała sprzedaż wynikającą z faktur sprzedaży oraz sprzedaż niefakturowaną. Ewidencja była prowadzona chronologicznie w sposób umożliwiający prawidłowe sporządzenie deklaracji VAT, tj. z uwzględnieniem prawidłowego określenia momentu powstania obowiązku podatkowego.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Kontrola faktur zakupowych zakwalifikowanych do odliczenia podatku VAT naliczonego, przeprowadzona w celu sprawdzenia poprawności odliczania tego podatku na próbie losowo wybranych czterech miesięcy: III, IV, V i IX 2019 r. wykazała związek wszystkich faktur zakwalifikowanych do odliczenia podatku VAT ze sprzedażą opodatkowaną. Zastrzeżenia natomiast budzą przyjęte w jednostce zasady obiegu dowodów księgowych dotyczących operacji finansowych i gospodarczych i także dokumentowania przeprowadzenia ich kontroli.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W trakcie kontroli wykazano, że koszty wynikające z faktur, które jednostka otrzymywała na początku miesiąca, ujmowane były do kosztów i zobowiązań miesiąca poprzedniego (którego dotyczyły), tylko wtedy, gdy był to miesiąc kończący kwartał</w:t>
              </w:r>
              <w:r>
                <w:rPr>
                  <w:rStyle w:val="Odwoanieprzypisudolnego"/>
                  <w:rFonts w:ascii="Arial" w:hAnsi="Arial" w:cs="Arial"/>
                  <w:sz w:val="24"/>
                </w:rPr>
                <w:footnoteReference w:id="7"/>
              </w:r>
              <w:r w:rsidRPr="00785A79">
                <w:rPr>
                  <w:rFonts w:ascii="Arial" w:hAnsi="Arial" w:cs="Arial"/>
                  <w:sz w:val="24"/>
                </w:rPr>
                <w:t xml:space="preserve">. W pozostałych miesiącach jednostka ujmowała takie faktury do kosztów i zobowiązań miesiąca bieżącego (zgodnie z datą wpływu). Przedstawiona praktyka naruszała przepis art. 20 ust. 1 ustawy o rachunkowości oraz zasadę współmierności, wyrażoną w art. 6 ust. 2 tej ustawy. Ponadto faktury zakupu nie spełniały wszystkich wymogów formalnych dowodów księgowych, o których mowa w art. 21 ust. 1 pkt 6 ustawy o rachunkowości (faktury nie zawierały wskazania miesiąca, w którym dowód księgowy został zakwalifikowany do ujęcia w księgach rachunkowych jednostki oraz podpisu osoby odpowiedzialnej za te wskazania). 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 xml:space="preserve">Faktury zakupu jednostka ujmowała w cząstkowym rejestrze zakupu w miesiącu, w którym spełnione zostały warunki odliczenia podatku VAT, tj. powstał obowiązek podatkowy u sprzedawcy, a jednostka była w posiadaniu faktury zakupu. Szczegółowa analiza danych wykazanych w cząstkowych rejestrach zakupu za wybrane miesiące (III, IV, V i IX 2019 r.) z danymi z dowodów zakupu wykazała, że w rejestrach zakupu jednostka ujmowała wszystkie faktury dotyczące zakupów związanych z działalnością mieszaną, ale ze sposobu ich ewidencjonowania w rejestrach wynika, że kwotę podatku VAT naliczonego (do odliczenia metodą pośrednią) wyliczała według obowiązującej stawki tylko od wartości netto wydatków działu 801 rozdział 80101 </w:t>
              </w:r>
              <w:r w:rsidRPr="00785A79">
                <w:rPr>
                  <w:rFonts w:cs="Arial"/>
                  <w:i/>
                </w:rPr>
                <w:t>– szkoły podstawowe</w:t>
              </w:r>
              <w:r w:rsidRPr="00785A79">
                <w:rPr>
                  <w:rFonts w:cs="Arial"/>
                </w:rPr>
                <w:t>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Cząstkowe deklaracje VAT za poszczególne okresy rozliczeniowe (miesiące) 2019 r. jednostka sporządzała  na drukach deklaracji VAT-7. Wykazane w miesięcznych deklaracjach VAT-7 dane w zakresie podatku VAT naliczonego i należnego były zgodne z danymi w ewidencji zakupów i sprzedaży oraz danymi w ewidencji księgowej. Deklaracje sporządzała osoba upoważniona (Główny księgowy), a zatwierdzał kierownik jednostki (Dyrektor Szkoły). Należny podatek VAT jednostka przekazywała na właściwy rachunek bankowy Miasta Piotrkowa Trybunalskiego. Kontrola wykazała przypadki przekroczenia przez jednostkę terminu do złożenia cząstkowej deklaracji i cząstkowych rejestrów w wersji papierowej oraz dwa przypadki dokonania wpłaty podatku VAT należnego na rachunek Miasta Piotrkowa Trybunalskiego po terminie, o którym mowa w rozdziale VII ust. 25 pkt 2 Psrp VAT.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Weryfikacja przestrzegania wynikających z Psrp VAT zasad ewidencji zdarzeń na kontach służących rozliczaniu podatku VAT wykazała, że jednostka nie przestrzegała zasad ewidencji na koncie 225-VJ1# - rozliczenie podatku VAT należnego w bieżącym okresie oraz na koncie konto 225-VJ3# - podatek VAT naliczony do rozliczenia w następnym okresie. Pomimo stwierdzonych nieprawidłowości, saldo konta 225-VJW# - </w:t>
              </w:r>
              <w:r w:rsidRPr="00785A79">
                <w:rPr>
                  <w:rFonts w:ascii="Arial" w:hAnsi="Arial" w:cs="Arial"/>
                  <w:i/>
                  <w:sz w:val="24"/>
                </w:rPr>
                <w:t>Rozrachunki z tytułu VAT z jednostką centralną (UM)</w:t>
              </w:r>
              <w:r w:rsidRPr="00785A79">
                <w:rPr>
                  <w:rFonts w:ascii="Arial" w:hAnsi="Arial" w:cs="Arial"/>
                  <w:sz w:val="24"/>
                </w:rPr>
                <w:t xml:space="preserve"> wskazywało kwotę zobowiązania do przekazania na rachunek Miasta, a w jednym przypadku (za lipiec 2019 r.) kwotę podatku naliczonego do zwrotu – po otrzymaniu przez Miasto zwrotu środków z US. 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  <w:u w:val="single"/>
                </w:rPr>
                <w:t>Szczegółowy opis stwierdzonych w toku kontroli nieprawidłowości i uchybień</w:t>
              </w:r>
              <w:r w:rsidRPr="00785A79">
                <w:rPr>
                  <w:rFonts w:cs="Arial"/>
                </w:rPr>
                <w:t>: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  <w:b/>
                  <w:bCs/>
                  <w:i/>
                  <w:iCs/>
                </w:rPr>
              </w:pPr>
              <w:r w:rsidRPr="00785A79">
                <w:rPr>
                  <w:rFonts w:cs="Arial"/>
                  <w:b/>
                  <w:bCs/>
                  <w:i/>
                  <w:iCs/>
                </w:rPr>
                <w:t>W zakresie organizacji jednostki: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line="360" w:lineRule="auto"/>
                <w:ind w:left="360"/>
                <w:jc w:val="both"/>
                <w:rPr>
                  <w:rFonts w:ascii="Arial" w:hAnsi="Arial" w:cs="Arial"/>
                  <w:bCs/>
                  <w:iCs/>
                  <w:sz w:val="24"/>
                </w:rPr>
              </w:pPr>
              <w:r w:rsidRPr="00785A79">
                <w:rPr>
                  <w:rFonts w:ascii="Arial" w:hAnsi="Arial" w:cs="Arial"/>
                  <w:bCs/>
                  <w:iCs/>
                  <w:sz w:val="24"/>
                </w:rPr>
                <w:t>Naruszenie standardów kontroli zarządczej odnoszących się do delegowania uprawnień</w:t>
              </w:r>
              <w:r>
                <w:rPr>
                  <w:rStyle w:val="Odwoanieprzypisudolnego"/>
                  <w:rFonts w:ascii="Arial" w:hAnsi="Arial" w:cs="Arial"/>
                  <w:bCs/>
                  <w:iCs/>
                  <w:sz w:val="24"/>
                </w:rPr>
                <w:footnoteReference w:id="8"/>
              </w:r>
              <w:r w:rsidRPr="00785A79">
                <w:rPr>
                  <w:rFonts w:ascii="Arial" w:hAnsi="Arial" w:cs="Arial"/>
                  <w:bCs/>
                  <w:iCs/>
                  <w:sz w:val="24"/>
                </w:rPr>
                <w:t>, oraz – pośrednio do wymogu zapewnienia ciągłości jednostki</w:t>
              </w:r>
              <w:r>
                <w:rPr>
                  <w:rStyle w:val="Odwoanieprzypisudolnego"/>
                  <w:rFonts w:ascii="Arial" w:hAnsi="Arial" w:cs="Arial"/>
                  <w:bCs/>
                  <w:iCs/>
                  <w:sz w:val="24"/>
                </w:rPr>
                <w:footnoteReference w:id="9"/>
              </w:r>
              <w:r w:rsidRPr="00785A79">
                <w:rPr>
                  <w:rFonts w:ascii="Arial" w:hAnsi="Arial" w:cs="Arial"/>
                  <w:bCs/>
                  <w:iCs/>
                  <w:sz w:val="24"/>
                </w:rPr>
                <w:t xml:space="preserve"> w wyniku wydania dokumentu upoważnienia wicedyrektora szkoły do zastępowania dyrektora szkoły zawierającego braki i błędy formalne oraz nieprecyzyjne sformułowania odnoszące się do zakresu czynności objętych upoważnieniem. </w:t>
              </w:r>
            </w:p>
            <w:p w:rsidR="004A1598" w:rsidRPr="00785A79" w:rsidRDefault="004A1598" w:rsidP="004A1598">
              <w:pPr>
                <w:spacing w:after="120" w:line="360" w:lineRule="auto"/>
                <w:ind w:left="357"/>
                <w:jc w:val="both"/>
                <w:rPr>
                  <w:rFonts w:cs="Arial"/>
                  <w:bCs/>
                  <w:iCs/>
                </w:rPr>
              </w:pPr>
              <w:r w:rsidRPr="00785A79">
                <w:rPr>
                  <w:rFonts w:cs="Arial"/>
                  <w:bCs/>
                  <w:iCs/>
                </w:rPr>
                <w:t xml:space="preserve">Na podstawie art. 68 ust. 9 ustawy Prawo oświatowe </w:t>
              </w:r>
              <w:r w:rsidRPr="00785A79">
                <w:rPr>
                  <w:rFonts w:cs="Arial"/>
                  <w:bCs/>
                  <w:i/>
                  <w:iCs/>
                </w:rPr>
                <w:t>w przypadku nieobecności dyrektora szkoły lub placówki zastępuje go wicedyrektor, a w szkołach i placówkach, w których nie utworzono stanowiska wicedyrektora – inny nauczyciel tej szkoły lub placówki, wyznaczony przez organ prowadzący</w:t>
              </w:r>
              <w:r w:rsidRPr="00785A79">
                <w:rPr>
                  <w:rFonts w:cs="Arial"/>
                  <w:bCs/>
                  <w:iCs/>
                </w:rPr>
                <w:t>. Dyrektor kontrolowanej jednostki dysponował pełnomocnictwem Prezydenta Miasta Piotrkowa Trybunalskiego, o którym mowa w art. 47 ustawy o samorządzie gminnym</w:t>
              </w:r>
              <w:r>
                <w:rPr>
                  <w:vertAlign w:val="superscript"/>
                </w:rPr>
                <w:footnoteReference w:id="10"/>
              </w:r>
              <w:r w:rsidRPr="00785A79">
                <w:rPr>
                  <w:rFonts w:cs="Arial"/>
                  <w:bCs/>
                  <w:iCs/>
                </w:rPr>
                <w:t xml:space="preserve"> z którego wynikało uprawnienie do udzielania dalszych pełnomocnictw pracownikom szkoły. </w:t>
              </w:r>
              <w:r w:rsidRPr="00785A79">
                <w:rPr>
                  <w:rFonts w:cs="Arial"/>
                </w:rPr>
                <w:t>Szkoła zatrudniała dwóch wicedyrektorów, z regulaminu organizacyjnego wynikało, że w czasie nieobecności dyrektora szkoły obowiązki jego pełni zastępca dyrektora (bez wskazania który z nich).</w:t>
              </w:r>
            </w:p>
            <w:p w:rsidR="004A1598" w:rsidRPr="00785A79" w:rsidRDefault="004A1598" w:rsidP="004A1598">
              <w:pPr>
                <w:spacing w:after="0" w:line="360" w:lineRule="auto"/>
                <w:ind w:left="360"/>
                <w:jc w:val="both"/>
                <w:rPr>
                  <w:rFonts w:cs="Arial"/>
                  <w:bCs/>
                  <w:iCs/>
                </w:rPr>
              </w:pPr>
              <w:r w:rsidRPr="00785A79">
                <w:rPr>
                  <w:rFonts w:cs="Arial"/>
                  <w:bCs/>
                  <w:iCs/>
                </w:rPr>
                <w:t>Ustalono, że dyrektor szkoły upoważnił na czas swojej nieobecności w pracy, pracownika (M.Z.) zatrudnionego na stanowisku wicedyrektora szkoły, do dokonywania jednoosobowo czynności prawnych, do któryc</w:t>
              </w:r>
              <w:r>
                <w:rPr>
                  <w:rFonts w:cs="Arial"/>
                  <w:bCs/>
                  <w:iCs/>
                </w:rPr>
                <w:t>h uprawniony jest dyrektor, a w </w:t>
              </w:r>
              <w:r w:rsidRPr="00785A79">
                <w:rPr>
                  <w:rFonts w:cs="Arial"/>
                  <w:bCs/>
                  <w:iCs/>
                </w:rPr>
                <w:t>szczególności: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3"/>
                </w:numPr>
                <w:spacing w:after="0" w:line="360" w:lineRule="auto"/>
                <w:ind w:left="1080"/>
                <w:jc w:val="both"/>
                <w:rPr>
                  <w:rFonts w:ascii="Arial" w:eastAsia="Times New Roman" w:hAnsi="Arial" w:cs="Arial"/>
                  <w:sz w:val="24"/>
                </w:rPr>
              </w:pPr>
              <w:r w:rsidRPr="00785A79">
                <w:rPr>
                  <w:rFonts w:ascii="Arial" w:eastAsia="Times New Roman" w:hAnsi="Arial" w:cs="Arial"/>
                  <w:sz w:val="24"/>
                </w:rPr>
                <w:t>czynności określonych w ustawie z 07.09.1991 r. o systemie oświaty,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3"/>
                </w:numPr>
                <w:spacing w:after="0" w:line="360" w:lineRule="auto"/>
                <w:ind w:left="1080"/>
                <w:jc w:val="both"/>
                <w:rPr>
                  <w:rFonts w:ascii="Arial" w:eastAsia="Times New Roman" w:hAnsi="Arial" w:cs="Arial"/>
                  <w:sz w:val="24"/>
                </w:rPr>
              </w:pPr>
              <w:r w:rsidRPr="00785A79">
                <w:rPr>
                  <w:rFonts w:ascii="Arial" w:eastAsia="Times New Roman" w:hAnsi="Arial" w:cs="Arial"/>
                  <w:sz w:val="24"/>
                </w:rPr>
                <w:t xml:space="preserve">czynności cywilnoprawnych, podejmowanych w zakresie bieżącej działalności kierowanej jednostki,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3"/>
                </w:numPr>
                <w:spacing w:after="0" w:line="360" w:lineRule="auto"/>
                <w:ind w:left="1080"/>
                <w:jc w:val="both"/>
                <w:rPr>
                  <w:rFonts w:ascii="Arial" w:eastAsia="Times New Roman" w:hAnsi="Arial" w:cs="Arial"/>
                  <w:sz w:val="24"/>
                </w:rPr>
              </w:pPr>
              <w:r w:rsidRPr="00785A79">
                <w:rPr>
                  <w:rFonts w:ascii="Arial" w:eastAsia="Times New Roman" w:hAnsi="Arial" w:cs="Arial"/>
                  <w:sz w:val="24"/>
                </w:rPr>
                <w:t>gospodarowania mieniem i budżetem jednostki</w:t>
              </w:r>
            </w:p>
            <w:p w:rsidR="004A1598" w:rsidRPr="00785A79" w:rsidRDefault="004A1598" w:rsidP="004A1598">
              <w:pPr>
                <w:spacing w:line="360" w:lineRule="auto"/>
                <w:ind w:left="360"/>
                <w:jc w:val="both"/>
                <w:rPr>
                  <w:rFonts w:eastAsia="Times New Roman" w:cs="Arial"/>
                </w:rPr>
              </w:pPr>
              <w:r w:rsidRPr="00785A79">
                <w:rPr>
                  <w:rFonts w:eastAsia="Times New Roman" w:cs="Arial"/>
                </w:rPr>
                <w:t>- przy czym podejmowanie zobowiązań dotyczyć mogło wyłącznie środków z</w:t>
              </w:r>
              <w:r>
                <w:rPr>
                  <w:rFonts w:eastAsia="Times New Roman" w:cs="Arial"/>
                </w:rPr>
                <w:t>a</w:t>
              </w:r>
              <w:r w:rsidRPr="00785A79">
                <w:rPr>
                  <w:rFonts w:eastAsia="Times New Roman" w:cs="Arial"/>
                </w:rPr>
                <w:t>mieszczonych w planie finansowym kierowanej jednostki oraz nie mogło dotyczyć zbywania majątku.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357"/>
                <w:contextualSpacing w:val="0"/>
                <w:jc w:val="both"/>
                <w:rPr>
                  <w:rFonts w:ascii="Arial" w:eastAsia="Times New Roman" w:hAnsi="Arial" w:cs="Arial"/>
                  <w:sz w:val="24"/>
                </w:rPr>
              </w:pPr>
              <w:r w:rsidRPr="00785A79">
                <w:rPr>
                  <w:rFonts w:ascii="Arial" w:eastAsia="Times New Roman" w:hAnsi="Arial" w:cs="Arial"/>
                  <w:sz w:val="24"/>
                </w:rPr>
                <w:t xml:space="preserve">Dokument nie zawierał daty wydania, a Dyrektor szkoły jak też upoważniony pracownik nie dochowali wymogu wpisania daty przy swoim podpisie (zgodnie z § 3 upoważnienia – wchodziło ono w życie z dniem jego podpisania). </w:t>
              </w:r>
              <w:r w:rsidRPr="00785A79">
                <w:rPr>
                  <w:rFonts w:ascii="Arial" w:hAnsi="Arial" w:cs="Arial"/>
                  <w:color w:val="000000"/>
                  <w:sz w:val="24"/>
                  <w:shd w:val="clear" w:color="auto" w:fill="FFFFFF"/>
                </w:rPr>
                <w:t xml:space="preserve">Precyzyjne określenie terminu jego obowiązywania (w tym wskazanie daty, od której upoważnienie obowiązuje) stanowi nieodzowny element upoważnienia. </w:t>
              </w:r>
              <w:r w:rsidRPr="00785A79">
                <w:rPr>
                  <w:rFonts w:ascii="Arial" w:eastAsia="Times New Roman" w:hAnsi="Arial" w:cs="Arial"/>
                  <w:sz w:val="24"/>
                </w:rPr>
                <w:t>Co do zakresu upoważnienia – dyrektor szkoły upoważnił wicedyrektora m.in. do czynności określonych w ustawie o systemie oświaty podczas, gdy kompetencje dyrektora szkoły reguluje ustawa Prawo oświatowe</w:t>
              </w:r>
              <w:r>
                <w:rPr>
                  <w:rStyle w:val="Odwoanieprzypisudolnego"/>
                  <w:rFonts w:ascii="Arial" w:eastAsia="Times New Roman" w:hAnsi="Arial" w:cs="Arial"/>
                  <w:sz w:val="24"/>
                </w:rPr>
                <w:footnoteReference w:id="11"/>
              </w:r>
              <w:r w:rsidRPr="00785A79">
                <w:rPr>
                  <w:rFonts w:ascii="Arial" w:eastAsia="Times New Roman" w:hAnsi="Arial" w:cs="Arial"/>
                  <w:sz w:val="24"/>
                </w:rPr>
                <w:t>, ponadto upoważnienie nie precyzuje wyraźnie kompetencji wicedyrektora głó</w:t>
              </w:r>
              <w:r>
                <w:rPr>
                  <w:rFonts w:ascii="Arial" w:eastAsia="Times New Roman" w:hAnsi="Arial" w:cs="Arial"/>
                  <w:sz w:val="24"/>
                </w:rPr>
                <w:t>wnie w </w:t>
              </w:r>
              <w:r w:rsidRPr="00785A79">
                <w:rPr>
                  <w:rFonts w:ascii="Arial" w:eastAsia="Times New Roman" w:hAnsi="Arial" w:cs="Arial"/>
                  <w:sz w:val="24"/>
                </w:rPr>
                <w:t xml:space="preserve">zakresie składania oświadczeń woli i zaciągania zobowiązań w imieniu Miasta Piotrkowa Trybunalskiego w zakresie działalności kierowanej jednostki w ramach planu finansowego szkoły: w tym do zawierania nowych i aneksowania istniejących umów podlegających przepisom ustawy o VAT. 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357"/>
                <w:contextualSpacing w:val="0"/>
                <w:jc w:val="both"/>
                <w:rPr>
                  <w:rFonts w:ascii="Arial" w:eastAsia="Times New Roman" w:hAnsi="Arial" w:cs="Arial"/>
                  <w:sz w:val="24"/>
                </w:rPr>
              </w:pPr>
              <w:r w:rsidRPr="00785A79">
                <w:rPr>
                  <w:rFonts w:ascii="Arial" w:eastAsia="Times New Roman" w:hAnsi="Arial" w:cs="Arial"/>
                  <w:sz w:val="24"/>
                </w:rPr>
                <w:t xml:space="preserve">Standardy kontroli zarządczej wymagają, by </w:t>
              </w:r>
              <w:r w:rsidRPr="005A52A9">
                <w:rPr>
                  <w:rFonts w:ascii="Arial" w:eastAsia="Times New Roman" w:hAnsi="Arial" w:cs="Arial"/>
                  <w:sz w:val="24"/>
                </w:rPr>
                <w:t>precyzyjnie określić zakres uprawnień delegowanych poszczególnym osobom zarządzającym lub pracownikom</w:t>
              </w:r>
              <w:r w:rsidRPr="00785A79">
                <w:rPr>
                  <w:rFonts w:ascii="Arial" w:eastAsia="Times New Roman" w:hAnsi="Arial" w:cs="Arial"/>
                  <w:sz w:val="24"/>
                </w:rPr>
                <w:t xml:space="preserve">. Przyjęcie delegowanych uprawnień powinno być potwierdzone podpisem. Brak precyzji w określeniu powierzanych obowiązków może spowodować wątpliwość osoby upoważnionej co do zakresu posiadanego upoważnienia i stwarza ryzyko niezapewnienia ciągłości działalności jednostki. Z kolei nieokreślenie daty ważności upoważnienia stanowi uchybienie, które może umożliwić upoważnionej osobie uchylenie się od odpowiedzialności w przypadku niedopełnienia nałożonych obowiązków. 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357"/>
                <w:contextualSpacing w:val="0"/>
                <w:jc w:val="both"/>
                <w:rPr>
                  <w:rFonts w:ascii="Arial" w:eastAsia="Times New Roman" w:hAnsi="Arial" w:cs="Arial"/>
                  <w:sz w:val="24"/>
                </w:rPr>
              </w:pPr>
              <w:r w:rsidRPr="00785A79">
                <w:rPr>
                  <w:rFonts w:ascii="Arial" w:eastAsia="Times New Roman" w:hAnsi="Arial" w:cs="Arial"/>
                  <w:sz w:val="24"/>
                </w:rPr>
                <w:t>Ponadto upoważnienie Wicedyrektora szkoły (M.Z.) – do zastępowania Dyrektora szkoły w czasie jego nieobecności oznaczało, że powierzone czynności obejmowały również zadania kierownika jednostki, o których mowa w Psrp VAT w tym m.in. zatwierdzanie rejestrów zakupu, sprzedaży, podpisywanie deklaracji VAT-7 (korekty deklaracji), terminowe składanie prawidłowo sporządzonych rejestrów VAT i deklaracji VAT w formie elektronicznej i papierowej, terminowe przekazywanie środków finansowych na zapłatę podatku VAT. Mając na uwadze powyższe, w świetle ust. 35 rozdział VII Psrp VAT odpowiedzialność za prawidłowe, rzetelne i terminowe wykonywanie zadań objętych w czasie nieobecności w pracy dyrektora szkoły ponosił upoważniony Wicedyrektor</w:t>
              </w:r>
              <w:r w:rsidRPr="00785A79">
                <w:rPr>
                  <w:rFonts w:ascii="Arial" w:hAnsi="Arial" w:cs="Arial"/>
                  <w:sz w:val="24"/>
                </w:rPr>
                <w:t xml:space="preserve"> (M.Z).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357"/>
                <w:contextualSpacing w:val="0"/>
                <w:jc w:val="both"/>
                <w:rPr>
                  <w:rFonts w:ascii="Arial" w:eastAsia="Times New Roman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Kontrola wykazała natomiast, że oświadczenie o przyjęciu odpowiedzialności za prawidłowe, rzetelne </w:t>
              </w:r>
              <w:r w:rsidRPr="00785A79">
                <w:rPr>
                  <w:rFonts w:ascii="Arial" w:eastAsia="Times New Roman" w:hAnsi="Arial" w:cs="Arial"/>
                  <w:sz w:val="24"/>
                </w:rPr>
                <w:t xml:space="preserve">i terminowe 1) prowadzenie ewidencji (cząstkowych rejestrów zakupu i sprzedaży jednostki) dla potrzeb prowadzenia podatku od towarów i usług, 2) sporządzenie cząstkowej deklaracji VAT lub (korekty deklaracji) za dany okres rozliczeniowy, 3) terminowe przekazywanie środków finansowych na zapłatę podatku VAT – podpisane zostało przez </w:t>
              </w:r>
              <w:r w:rsidRPr="00785A79">
                <w:rPr>
                  <w:rFonts w:ascii="Arial" w:hAnsi="Arial" w:cs="Arial"/>
                  <w:sz w:val="24"/>
                </w:rPr>
                <w:t>drugiego Wicedyrektora szkoły (J.Z.).</w:t>
              </w:r>
            </w:p>
            <w:p w:rsidR="004A1598" w:rsidRPr="00785A79" w:rsidRDefault="004A1598" w:rsidP="004A1598">
              <w:pPr>
                <w:pStyle w:val="Akapitzlist"/>
                <w:spacing w:line="360" w:lineRule="auto"/>
                <w:ind w:left="357"/>
                <w:contextualSpacing w:val="0"/>
                <w:jc w:val="both"/>
                <w:rPr>
                  <w:rFonts w:ascii="Arial" w:eastAsia="Times New Roman" w:hAnsi="Arial" w:cs="Arial"/>
                  <w:strike/>
                  <w:sz w:val="24"/>
                </w:rPr>
              </w:pPr>
              <w:r w:rsidRPr="00785A79">
                <w:rPr>
                  <w:rFonts w:ascii="Arial" w:eastAsia="Times New Roman" w:hAnsi="Arial" w:cs="Arial"/>
                  <w:sz w:val="24"/>
                </w:rPr>
                <w:t>Powierzanie obowiązków i odpowiedzialności jest istotnym elementem systemu kontroli zarządczej i ładu organizacyjnego w jednostkach sektora finansów publicznych, dlatego ważne jest dołożenie najwyższej staranności przy przygotowywaniu upoważnień i zakresów obowiązków, uprawnień i odpowiedzialności by móc skutecznie przypisać upoważnionemu pracownikowi odpowiedzialność za wykonywanie wyznaczonych obowiązków w zakresie gospodarki finansowej.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  <w:b/>
                  <w:bCs/>
                  <w:i/>
                  <w:iCs/>
                </w:rPr>
              </w:pPr>
              <w:r w:rsidRPr="00785A79">
                <w:rPr>
                  <w:rFonts w:cs="Arial"/>
                  <w:b/>
                  <w:bCs/>
                  <w:i/>
                  <w:iCs/>
                </w:rPr>
                <w:t>W zakresie polityki rachunkowości oraz dostosowania zakładowego planu kont do wymogów Psrp VAT: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120"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Naruszenie art. 20 ust. 1 ustawy o rachunkowości w wyniku przyjęcia przez jednostkę zasady, </w:t>
              </w:r>
              <w:r w:rsidRPr="00785A79">
                <w:rPr>
                  <w:rFonts w:ascii="Arial" w:hAnsi="Arial" w:cs="Arial"/>
                  <w:i/>
                  <w:sz w:val="24"/>
                </w:rPr>
                <w:t>że faktury i inne dokumenty stanowiące dowód księgowy, przedłożone do księgowości do 9 dnia miesiąca następującego po miesiącu, w którym je wystawiono należy ująć w ewidencji kosztów i zobowiązań miesiąca, którego dotyczą, z zastrzeżeniem, że zasada ta dotyczy sprawozdań kwartalnych</w:t>
              </w:r>
              <w:r w:rsidRPr="00785A79">
                <w:rPr>
                  <w:rFonts w:ascii="Arial" w:hAnsi="Arial" w:cs="Arial"/>
                  <w:sz w:val="24"/>
                </w:rPr>
                <w:t xml:space="preserve">. Zgodnie z powołanym przepisem </w:t>
              </w:r>
              <w:r w:rsidRPr="00785A79">
                <w:rPr>
                  <w:rFonts w:ascii="Arial" w:hAnsi="Arial" w:cs="Arial"/>
                  <w:i/>
                  <w:sz w:val="24"/>
                </w:rPr>
                <w:t>do ksiąg rachunkowych okresu spraw</w:t>
              </w:r>
              <w:r>
                <w:rPr>
                  <w:rFonts w:ascii="Arial" w:hAnsi="Arial" w:cs="Arial"/>
                  <w:i/>
                  <w:sz w:val="24"/>
                </w:rPr>
                <w:t>ozdawczego należy wprowadzić, w </w:t>
              </w:r>
              <w:r w:rsidRPr="00785A79">
                <w:rPr>
                  <w:rFonts w:ascii="Arial" w:hAnsi="Arial" w:cs="Arial"/>
                  <w:i/>
                  <w:sz w:val="24"/>
                </w:rPr>
                <w:t>postaci zapisu, każde zdarzenie, które nastąpiło w tym okresie sprawozdawczym</w:t>
              </w:r>
              <w:r>
                <w:rPr>
                  <w:rStyle w:val="Odwoanieprzypisudolnego"/>
                  <w:rFonts w:ascii="Arial" w:hAnsi="Arial" w:cs="Arial"/>
                  <w:i/>
                  <w:sz w:val="24"/>
                </w:rPr>
                <w:footnoteReference w:id="12"/>
              </w:r>
              <w:r w:rsidRPr="00785A79">
                <w:rPr>
                  <w:rFonts w:ascii="Arial" w:hAnsi="Arial" w:cs="Arial"/>
                  <w:sz w:val="24"/>
                </w:rPr>
                <w:t>. Zaznaczyć należy, że ostateczny moment zamknięcia miesiąca (do którego mogą być wprowadzane do ksiąg rachunkowych dowody księgowe) jednostka wyznacza we własnym zakresie. W przypadku jednostki budżetowej, granicznym dniem dokonywania zapisów w księgach rachunkowych danego miesiąca w trakcie roku najczęściej jest data, która nie spowoduje zagrożenia w terminowym złożeniu wymaganych sprawozdań budżetowych. Ujmowanie w księgach rachunkowych kosztów i przychodów w miesiącu, którego dotyczą, wynika z zasady memoriału i zasady współmierności, opisanych w</w:t>
              </w:r>
              <w:r>
                <w:rPr>
                  <w:rFonts w:ascii="Arial" w:hAnsi="Arial" w:cs="Arial"/>
                  <w:sz w:val="24"/>
                </w:rPr>
                <w:t> </w:t>
              </w:r>
              <w:r w:rsidRPr="00785A79">
                <w:rPr>
                  <w:rFonts w:ascii="Arial" w:hAnsi="Arial" w:cs="Arial"/>
                  <w:sz w:val="24"/>
                </w:rPr>
                <w:t xml:space="preserve">ustawie o rachunkowości. </w:t>
              </w:r>
              <w:r w:rsidRPr="00785A79">
                <w:rPr>
                  <w:rFonts w:ascii="Arial" w:hAnsi="Arial" w:cs="Arial"/>
                  <w:i/>
                  <w:sz w:val="24"/>
                </w:rPr>
                <w:t>Zgodnie z zasadą memoriału w księgach rachunkowych jednostki należy ująć wszystkie osiągnięte, przypadające na jej rzecz przychody i</w:t>
              </w:r>
              <w:r>
                <w:rPr>
                  <w:rFonts w:ascii="Arial" w:hAnsi="Arial" w:cs="Arial"/>
                  <w:i/>
                  <w:sz w:val="24"/>
                </w:rPr>
                <w:t> </w:t>
              </w:r>
              <w:r w:rsidRPr="00785A79">
                <w:rPr>
                  <w:rFonts w:ascii="Arial" w:hAnsi="Arial" w:cs="Arial"/>
                  <w:i/>
                  <w:sz w:val="24"/>
                </w:rPr>
                <w:t xml:space="preserve">obciążające ją koszty związane z tymi przychodami dotyczące danego roku obrotowego, niezależnie od terminu ich zapłaty </w:t>
              </w:r>
              <w:r w:rsidRPr="00785A79">
                <w:rPr>
                  <w:rFonts w:ascii="Arial" w:hAnsi="Arial" w:cs="Arial"/>
                  <w:sz w:val="24"/>
                </w:rPr>
                <w:t>(art. 6 ust. 1 ustawy o rachunkowości). Do ewidencji księgowej należy zatem odnieść wszystkie zdarzenia gospodarcze, jakie wystąpiły w danym roku obrotowym, niezależnie od tego, czy zostały one zafakturowane i zapłacone. W myśl tej zasady, w danym okresie sprawozdawczym nie powinno się, co do zasady, księgować operacji dotyczących innych okresów sprawozdawczych. Stosowanie zasady memoriału powoduje, że w danym okresie sprawozdawczym wykazuje się realne koszty i przychody. Natomiast dla zapewnienia współmierności przychodów i związanych z nimi kosztów, do aktywów lub pasywów danego okresu sprawozdawczego należy zaliczać koszty lub przychody dotyczące przyszłych okresów oraz przypadające na ten okres sprawozdawczy koszty, które jeszcze nie zostały poniesione (art. 6 ust. 2 ustawy). W danym okresie sprawozdawczym trzeba zatem zaewidencjonować przychody uzyskane ze sprzedaży towarów, produktów i usług oraz operacji finansowych, a także odpowiednie koszty niezbędne do osiągnięcia tych przychodów, niezależnie od tego, czy koszty te zostały rzeczywiście poniesione i zafakturowane.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0"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Niewykonanie obowiązku nałożonego na kierownika jednostki, wynikającego z § 14 zarządzenia Nr 357 i ust. 41 pkt 5 rozdziału VII Psrp VAT, poprzez nieuwzględnienie w ZPK: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4"/>
                </w:numPr>
                <w:spacing w:after="0" w:line="360" w:lineRule="auto"/>
                <w:ind w:left="72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w dalszej analityce </w:t>
              </w:r>
              <w:r w:rsidRPr="00785A79">
                <w:rPr>
                  <w:rFonts w:ascii="Arial" w:hAnsi="Arial" w:cs="Arial"/>
                  <w:i/>
                  <w:sz w:val="24"/>
                </w:rPr>
                <w:t xml:space="preserve">kont 225-VJ0# - rozliczenie podatku VAT należnego w danym miesiącu, 225-VJ1# - rozliczenie podatku VAT naliczonego w danym miesiącu, </w:t>
              </w:r>
              <w:r w:rsidRPr="00785A79">
                <w:rPr>
                  <w:rFonts w:ascii="Arial" w:hAnsi="Arial" w:cs="Arial"/>
                  <w:i/>
                  <w:sz w:val="24"/>
                </w:rPr>
                <w:br/>
                <w:t xml:space="preserve">225-VJ2# - rozliczenie podatku VAT od ŚT do rozliczenia w danym miesiącu </w:t>
              </w:r>
              <w:r w:rsidRPr="00785A79">
                <w:rPr>
                  <w:rFonts w:ascii="Arial" w:hAnsi="Arial" w:cs="Arial"/>
                  <w:i/>
                  <w:sz w:val="24"/>
                </w:rPr>
                <w:br/>
                <w:t>i 225-VJ3# VAT - naliczony do rozliczenia w następnym okresie,</w:t>
              </w:r>
              <w:r w:rsidRPr="00785A79">
                <w:rPr>
                  <w:rFonts w:ascii="Arial" w:hAnsi="Arial" w:cs="Arial"/>
                  <w:sz w:val="24"/>
                </w:rPr>
                <w:t xml:space="preserve"> wszystkich stopni agregacji dla występujących stawek VAT. W myśl postanowień zawartych w rozdziale VIII Psrp VAT – w budowie konta analitycznego 225 jednostka zobowiązana była uwzględnić wszystkie wskazane stopnie agregacji, wspólne dla planu kont Miasta – tj. dla stawek VAT 5 %, 8 % i 23 %, natomiast konta analityczne utworzone przez jednostkę 225-VJ0#, 225-VJ1# i 225-VJ3# posiadały dalszą analitykę umożliwiającą identyfikację VAT należnego i naliczonego VAT tylko z podziałem na stawki 8% i 23%, a konto 225-VJ2# nie posiadało dalszego rozszerzenia dla poszczególnych stawek tego podatku).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38" w:hanging="278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kont służących do ewidencji przelewów z obsługą VAT (Split Payment), tj. </w:t>
              </w:r>
              <w:r w:rsidRPr="00785A79">
                <w:rPr>
                  <w:rFonts w:ascii="Arial" w:hAnsi="Arial" w:cs="Arial"/>
                  <w:i/>
                  <w:sz w:val="24"/>
                </w:rPr>
                <w:t>130-D-SP - Rachunek bieżący dochodów jednostki – operacje Split Payment oraz 130-VJ-D-SP - Rachunek VAT przy rachunku bieżącym dochodów jednostki.</w:t>
              </w:r>
              <w:r w:rsidRPr="00785A79">
                <w:rPr>
                  <w:rFonts w:ascii="Arial" w:hAnsi="Arial" w:cs="Arial"/>
                  <w:sz w:val="24"/>
                </w:rPr>
                <w:t xml:space="preserve">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120" w:line="360" w:lineRule="auto"/>
                <w:ind w:left="36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Naruszenie art. 10 ust. 1 pkt 3 lit. a ustawy o rachunkowości w związku z nieokreśleniem w zakładowym planie kont zasad klasyfikacji zdarzeń na kontach służących rozliczaniu podatku VAT.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120" w:line="360" w:lineRule="auto"/>
                <w:ind w:left="36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Niedostosowanie w pełni uregulowań wewnętrznych wprowadzonych zarządzeniem nr 2/2018/K Dyrektora  Szkoły z dnia 30.12.2018r. w sprawie wprowadzenia </w:t>
              </w:r>
              <w:r w:rsidRPr="00785A79">
                <w:rPr>
                  <w:rFonts w:ascii="Arial" w:hAnsi="Arial" w:cs="Arial"/>
                  <w:i/>
                  <w:sz w:val="24"/>
                </w:rPr>
                <w:t>Instrukcji obiegu i kontroli dokumentów finansowo-księgowych oraz ich przechowywania</w:t>
              </w:r>
              <w:r w:rsidRPr="00785A79">
                <w:rPr>
                  <w:rFonts w:ascii="Arial" w:hAnsi="Arial" w:cs="Arial"/>
                  <w:sz w:val="24"/>
                </w:rPr>
                <w:t xml:space="preserve"> do obowiązujących przepisów prawa i standardów kontroli zarządczej, w tym obowiązku zapewnienia skutecznych mechanizmów kontroli w zakresie opera</w:t>
              </w:r>
              <w:r>
                <w:rPr>
                  <w:rFonts w:ascii="Arial" w:hAnsi="Arial" w:cs="Arial"/>
                  <w:sz w:val="24"/>
                </w:rPr>
                <w:t>cji finansowych i </w:t>
              </w:r>
              <w:r w:rsidRPr="00785A79">
                <w:rPr>
                  <w:rFonts w:ascii="Arial" w:hAnsi="Arial" w:cs="Arial"/>
                  <w:sz w:val="24"/>
                </w:rPr>
                <w:t>gospodarczych. W instrukcji zapisano: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38" w:hanging="278"/>
                <w:contextualSpacing w:val="0"/>
                <w:jc w:val="both"/>
                <w:rPr>
                  <w:rFonts w:ascii="Arial" w:hAnsi="Arial" w:cs="Arial"/>
                  <w:i/>
                  <w:sz w:val="24"/>
                </w:rPr>
              </w:pPr>
              <w:r w:rsidRPr="00785A79">
                <w:rPr>
                  <w:rFonts w:ascii="Arial" w:hAnsi="Arial" w:cs="Arial"/>
                  <w:i/>
                  <w:sz w:val="24"/>
                </w:rPr>
                <w:t>w § 1 ust. 7 - dowodem dokonania przez głównego księgowego lub osobę upoważnioną do wstępnej kontroli (sekretarz</w:t>
              </w:r>
              <w:r>
                <w:rPr>
                  <w:rFonts w:ascii="Arial" w:hAnsi="Arial" w:cs="Arial"/>
                  <w:i/>
                  <w:sz w:val="24"/>
                </w:rPr>
                <w:t xml:space="preserve"> szkoły) jest podpis złożony na </w:t>
              </w:r>
              <w:r w:rsidRPr="00785A79">
                <w:rPr>
                  <w:rFonts w:ascii="Arial" w:hAnsi="Arial" w:cs="Arial"/>
                  <w:i/>
                  <w:sz w:val="24"/>
                </w:rPr>
                <w:t xml:space="preserve">dokumentach dotyczących danej operacji. Główny księgowy lub sekretarz szkoły składa podpis na pieczęci o treści „sprawdzono pod względem formalno-rachunkowym dnia ... podpis ...”  Złożenie podpisu przez głównego księgowego lub sekretarza szkoły na dokumencie oznacza, </w:t>
              </w:r>
              <w:r>
                <w:rPr>
                  <w:rFonts w:ascii="Arial" w:hAnsi="Arial" w:cs="Arial"/>
                  <w:i/>
                  <w:sz w:val="24"/>
                </w:rPr>
                <w:t>że 1) nie zgłasza zastrzeżeń do </w:t>
              </w:r>
              <w:r w:rsidRPr="00785A79">
                <w:rPr>
                  <w:rFonts w:ascii="Arial" w:hAnsi="Arial" w:cs="Arial"/>
                  <w:i/>
                  <w:sz w:val="24"/>
                </w:rPr>
                <w:t>przedstawionej przez właściwych rzeczowo pracowników oceny prawidłowości tej operacji i jej zgodności z prawem; 2) nie zgłasza zastrzeżeń do kompletności oraz formalno-rachunkowej rzetelności i prawidłowości dokumentów dotyczących tej operacji. Główny księgowy składa również podpis na pieczęci o treści „Wydatek mieści się w planie finansowym dz. (…) rozdz. (…) § (…) podpis (…)”. Złożenie podpisu przez głównego księgowego na dokumencie oznacza, że zobowiązania wynikające z operacji mieszczą się w planie finansowym jednostki.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38" w:hanging="278"/>
                <w:contextualSpacing w:val="0"/>
                <w:jc w:val="both"/>
                <w:rPr>
                  <w:rFonts w:ascii="Arial" w:hAnsi="Arial" w:cs="Arial"/>
                  <w:i/>
                  <w:sz w:val="24"/>
                </w:rPr>
              </w:pPr>
              <w:r w:rsidRPr="00785A79">
                <w:rPr>
                  <w:rFonts w:ascii="Arial" w:hAnsi="Arial" w:cs="Arial"/>
                  <w:i/>
                  <w:sz w:val="24"/>
                </w:rPr>
                <w:t>w § 4 ust. 1 - dowody pod względem formalno-rachunkowym sprawdzane są przez głównego księgowego i sekretarza szkoły.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708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Art. 54 ust.1 ufp. stanowi, że </w:t>
              </w:r>
              <w:r w:rsidRPr="00785A79">
                <w:rPr>
                  <w:rFonts w:ascii="Arial" w:hAnsi="Arial" w:cs="Arial"/>
                  <w:i/>
                  <w:sz w:val="24"/>
                </w:rPr>
                <w:t>kierownik jednostki sektora finansów publicznych, jest odpowiedzialny za całość gospodarki finansowej tej jednostki. Artykuł 53 ust. 2 ww. ustawy wskazuje natomiast, że kierownik jednostki może powierzyć określone obowiązki w zakresie gospodarki finansowej pracownikom jednostki. Przyjęcie obowiązków przez te osoby powinno być potwierdzone dokumentem w formie odrębnego imiennego upoważnienia albo wskazania w regulaminie organizacyjnym tej jednostki.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709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W kontrolowanym okresie obowiązki i odpowiedzialność w zakresie dokonywania wstępnej kontroli: zgodności operacji gospodarczych i finansowych z planem finansowym oraz kompletności i rzetelności dokumentów dotyczących operacji gospodarczych i finansowych, kierownik jednostki powierzył pracownikowi zatrudnionemu na stanowisku głównego księgowego jednostki (powierzenie z dnia 01.09.2010 r.). Z kolei obowiązki w zakresie dokonywania kontroli zgodności wydatku pod względem formalno-rachunkowym, kierownik jednostki powierzył pracownikowi zatrudnionemu na stanowisku sekretarza szkoły (upoważnienie z 02.01.2018 r.). W 2019 r. sekretarz szkoły nie był upoważniony do dokonywania wstępnej kontroli dowodów księgowych.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  <w:b/>
                  <w:bCs/>
                  <w:i/>
                  <w:iCs/>
                </w:rPr>
              </w:pPr>
              <w:r w:rsidRPr="00785A79">
                <w:rPr>
                  <w:rFonts w:cs="Arial"/>
                  <w:b/>
                  <w:bCs/>
                  <w:i/>
                  <w:iCs/>
                </w:rPr>
                <w:t>W zakresie ustalenia wartości wskaźnika struktury sprzedaży oraz prewskaźnika na rok 2019: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i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Naruszenie przepisów art. 90 ust. 2 i nast. ustawy o podatku od towarów i usług oraz rozdziału III lit. C Psrp VAT przy obliczaniu wartości wskaźnika struktury sprzedaży oraz § 3 ust. 3 rozporządzenia Ministra Finansów z dnia 17.12.2015 r.</w:t>
              </w:r>
              <w:r>
                <w:rPr>
                  <w:rFonts w:ascii="Arial" w:hAnsi="Arial" w:cs="Arial"/>
                  <w:sz w:val="24"/>
                  <w:vertAlign w:val="superscript"/>
                </w:rPr>
                <w:footnoteReference w:id="13"/>
              </w:r>
              <w:r w:rsidRPr="00785A79">
                <w:rPr>
                  <w:rFonts w:ascii="Arial" w:hAnsi="Arial" w:cs="Arial"/>
                  <w:sz w:val="24"/>
                </w:rPr>
                <w:t xml:space="preserve"> przy obliczaniu wartości prewskaźnika – dla potrzeb odliczania podatku VAT naliczonego w 2019 r. Zgodnie z powołanymi przepisami </w:t>
              </w:r>
              <w:r w:rsidRPr="00785A79">
                <w:rPr>
                  <w:rFonts w:ascii="Arial" w:hAnsi="Arial" w:cs="Arial"/>
                  <w:i/>
                  <w:sz w:val="24"/>
                </w:rPr>
                <w:t>wysokość wskaźnika struktury sprzedaży oblicza się jako roczny udział czynności opodatkowanych w </w:t>
              </w:r>
              <w:r>
                <w:rPr>
                  <w:rFonts w:ascii="Arial" w:hAnsi="Arial" w:cs="Arial"/>
                  <w:i/>
                  <w:sz w:val="24"/>
                </w:rPr>
                <w:t>sumie sprzedaży opodatkowanej i </w:t>
              </w:r>
              <w:r w:rsidRPr="00785A79">
                <w:rPr>
                  <w:rFonts w:ascii="Arial" w:hAnsi="Arial" w:cs="Arial"/>
                  <w:i/>
                  <w:sz w:val="24"/>
                </w:rPr>
                <w:t xml:space="preserve">zwolnionej z opodatkowania. 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Kontrola wykazała, że przy obliczaniu wartości wskaźnika struktury sprzedaży w oparciu o dane rzeczywiste z roku 2018, jednostka przyjęła wartość wykonanej sprzedaży z tytułu najmów w 2018 r. ze sprawozdania RB-27S, zamiast kwoty stanowiącej wysokość netto sprzedaży opodatkowanej wg stawki 23 % z rejestru sprzedaży za 2018 r. Podobnie, do wzoru na określenie prewskaźnika, jednostka błędnie przyjęła łączną wartość rocznego obrotu opodatkowanego netto oraz obrotu zwolnionego. 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Powyższe naruszało art. 90 ust. 3 i 4 ustawy o podatku od towarów i usług, odnoszący się do sposobu obliczania wskaźnika struktury sprzedaży, oraz – w kwestii obliczania wskaźnika struktury sprzedaży § 3 ust. 3 rozporządzenia Ministra Finansów z dnia 17.12.2015 r.</w:t>
              </w:r>
              <w:r>
                <w:rPr>
                  <w:rFonts w:ascii="Arial" w:hAnsi="Arial" w:cs="Arial"/>
                  <w:sz w:val="24"/>
                  <w:vertAlign w:val="superscript"/>
                </w:rPr>
                <w:footnoteReference w:id="14"/>
              </w:r>
              <w:r w:rsidRPr="00785A79">
                <w:rPr>
                  <w:rFonts w:ascii="Arial" w:hAnsi="Arial" w:cs="Arial"/>
                  <w:sz w:val="24"/>
                </w:rPr>
                <w:t xml:space="preserve"> W obydwu przypadkach różnica pomiędzy wartością przyjętą oraz wartością prawidłową wyniosła 40,00 zł. Z uwagi na to, że metoda obliczenia każdej z omawianych proporcji przewiduje zaokrąglanie uzyskanego wyniku procentowego w ułamku dziesiętnym w górę, do pełnej liczby całkowitej, ww. różnica nie wpłynęła na wysokość przyjętego przez jednostkę wskaźnika struktury sprzedaży oraz prewskaźnika. 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  <w:b/>
                  <w:bCs/>
                  <w:i/>
                  <w:iCs/>
                </w:rPr>
              </w:pPr>
              <w:r w:rsidRPr="00785A79">
                <w:rPr>
                  <w:rFonts w:cs="Arial"/>
                  <w:b/>
                  <w:bCs/>
                  <w:i/>
                  <w:iCs/>
                </w:rPr>
                <w:t>W zakresie zawierania umów najmu w imieniu i na rzecz Miasta Piotrkowa Trybunalskiego oraz dokumentowania usług najmu jako sprzedaży opodatkowanej: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120" w:line="360" w:lineRule="auto"/>
                <w:ind w:left="36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Naruszenie § 3 zarządzenia w sprawie zasad wynajmu w związku ze świadczeniem usług najmu bez umowy. Wykazano przypadki udostępniania pomieszczeń szkoły najemcy w terminach lub godzinach nie wynikających z obowiązującej w tym czasie umowy, bez zawarcia pisemnego porozumienia regulującego możliwość odbywania zajęć poza ustalonymi godzinami lub w inne niż określone umową dni tygodnia.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0"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Nieprzestrzeganie wszystkich wymogów określonych w załączniku do zarządzenia w sprawie zasad wynajmu, w tym: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0" w:line="360" w:lineRule="auto"/>
                <w:ind w:left="701" w:hanging="28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nieuwzględnienie kosztów osobowych (płac sprzątaczek) przy ustalaniu wysokości  kosztów utrzymania budynku w celu ustalenia stawki czynszu za najem, przy braku precyzyjnego określenia w umowach obowiązków stron w zakresie sprzątania wynajmowanych pomieszczeń i części wspólnych,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0" w:line="360" w:lineRule="auto"/>
                <w:ind w:left="701" w:hanging="28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brak akceptacji projektu umowy pod względem formalno-prawnym przez pracownika Biura Prawnego Urzędu Miasta</w:t>
              </w:r>
              <w:r>
                <w:rPr>
                  <w:rFonts w:ascii="Arial" w:hAnsi="Arial" w:cs="Arial"/>
                  <w:sz w:val="24"/>
                  <w:vertAlign w:val="superscript"/>
                </w:rPr>
                <w:footnoteReference w:id="15"/>
              </w:r>
              <w:r w:rsidRPr="00785A79">
                <w:rPr>
                  <w:rFonts w:ascii="Arial" w:hAnsi="Arial" w:cs="Arial"/>
                  <w:sz w:val="24"/>
                </w:rPr>
                <w:t>,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98" w:hanging="278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zawarcie umowy najmu krótkoterminowego (trwającego dwa dni), której postanowienia zawierały błędy, nieścisłości, zapisy nieadekwatne do uzgodnionego okresu najmu – jak też sprzeczne z podaniem o zawarcie umowy np. niezgodne ze stanem faktycznym określenie terminu świadczenia usługi oraz celu wynajmu, wskazanie terminów płatności (do 15 dnia każdego miesiąca za miniony miesiąc), zastrzeżenie prawa rozwiązania umowy w trybie natychmiastowym w przypadku zalegania z zapłatą czynszu za co najmniej dwa okresy płatności</w:t>
              </w:r>
              <w:r>
                <w:rPr>
                  <w:rStyle w:val="Odwoanieprzypisudolnego"/>
                  <w:rFonts w:ascii="Arial" w:hAnsi="Arial" w:cs="Arial"/>
                  <w:sz w:val="24"/>
                </w:rPr>
                <w:footnoteReference w:id="16"/>
              </w:r>
              <w:r w:rsidRPr="00785A79">
                <w:rPr>
                  <w:rFonts w:ascii="Arial" w:hAnsi="Arial" w:cs="Arial"/>
                  <w:sz w:val="24"/>
                </w:rPr>
                <w:t>. W przypadku zawierania pisemnej umowy najmu, jej p</w:t>
              </w:r>
              <w:r w:rsidRPr="00785A79">
                <w:rPr>
                  <w:rFonts w:ascii="Arial" w:hAnsi="Arial" w:cs="Arial"/>
                  <w:color w:val="2B2B2B"/>
                  <w:sz w:val="24"/>
                </w:rPr>
                <w:t>ostanowienia powinny być opisane precyzyjnie i szczegółowo oraz zgodnie ze stanem faktycznym, aby w przyszłości nie powstały wątpliwości co do ich interpretacji.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120"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Dopuszczenie do praktyki dokumentowania przez najemców w prowadzonej ewidencji najmów odbywania zajęć w czasie krótszym, niż wynikało to z postanowień obowiązującej umowy. Rozliczanie świadczonych usług niezgodnie z warunkami zawartych umów (mimo zachowania ich częstotliwości) spowodowało nieosiągnięcie należnych dochodów z najmu w roku 2019 w kwocie 2 560,00 zł netto. Zgodnie z art. 42 ust 5 ustawy o finansach publicznych</w:t>
              </w:r>
              <w:r w:rsidRPr="00785A79">
                <w:rPr>
                  <w:rFonts w:ascii="Arial" w:hAnsi="Arial" w:cs="Arial"/>
                  <w:i/>
                  <w:sz w:val="24"/>
                </w:rPr>
                <w:t xml:space="preserve"> – jednostki sektora finansów publicznych są obowiązane do ustalania przypadających im należności pieniężnych, w tym mających charakter cywilnoprawny, oraz terminowego podejmowania w stosunku do zobowiązanych czynności zmierzających do wykonania zobowiązania.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  <w:b/>
                  <w:bCs/>
                  <w:i/>
                  <w:iCs/>
                </w:rPr>
              </w:pPr>
              <w:r w:rsidRPr="00785A79">
                <w:rPr>
                  <w:rFonts w:cs="Arial"/>
                  <w:b/>
                  <w:bCs/>
                  <w:i/>
                  <w:iCs/>
                </w:rPr>
                <w:t>W zakresie dokumentowania wielkości sprzedaży zwolnionej: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120"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Wykazanie </w:t>
              </w:r>
              <w:r w:rsidRPr="00785A79">
                <w:rPr>
                  <w:rFonts w:ascii="Arial" w:eastAsia="Times New Roman" w:hAnsi="Arial" w:cs="Arial"/>
                  <w:sz w:val="24"/>
                </w:rPr>
                <w:t>w cząstkowych rejestrach sprzedaży oraz deklaracjach cząstkowych błędnych danych dotyczących wysokości sprzedaży zwolnionej w styczniu i lipcu 2019 r., w wyniku: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98" w:hanging="278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zawyżenia wartości sprzedaży zwolnionej w styczniu 2019 r. o kwotę 335,90 zł (do wartości sprzedaży zwolnionej jednostka dodała ww. kwotę stanowiącą dofinansowanie do dożywiania uczniów przekazane przez MOPR w Piotrkowie Trybunalskim, ujętą w nocie księgowej nr 00001/19 z dnia 31.01.2019 r.);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98" w:hanging="278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nie wykazania w lipcu 2019 r. sprzedaży zwolnionej w kwocie 9,00 zł z tytułu wydania duplikatu legitymacji szkolnej (operacja została zaewidencjonowana na koncie 221-069# - należności z tytułu dochodów budżetowych – duplikaty świadectw i legitymacji w dniu 29.07.2019 r.).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  <w:b/>
                  <w:bCs/>
                  <w:i/>
                  <w:iCs/>
                </w:rPr>
              </w:pPr>
              <w:r w:rsidRPr="00785A79">
                <w:rPr>
                  <w:rFonts w:cs="Arial"/>
                  <w:b/>
                  <w:bCs/>
                  <w:i/>
                  <w:iCs/>
                </w:rPr>
                <w:t>W zakresie obiegu i kontroli faktur zakupu zawierających podatek VAT podlegający odliczeniu, ich zakwalifikowanie do ujęcia w księgach rachunkowych oraz rzetelności danych ujmowanych w cząstkowym rejestrze zakupu: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Nieprzestrzeganie obowiązku wynikającego z art. 54 ust. 1 pkt 3b </w:t>
              </w:r>
              <w:r w:rsidRPr="00785A79">
                <w:rPr>
                  <w:rFonts w:ascii="Arial" w:hAnsi="Arial" w:cs="Arial"/>
                  <w:sz w:val="24"/>
                  <w:shd w:val="clear" w:color="auto" w:fill="FFFFFF"/>
                </w:rPr>
                <w:t xml:space="preserve">ustawy o finansach publicznych, </w:t>
              </w:r>
              <w:r w:rsidRPr="00785A79">
                <w:rPr>
                  <w:rFonts w:ascii="Arial" w:hAnsi="Arial" w:cs="Arial"/>
                  <w:sz w:val="24"/>
                </w:rPr>
                <w:t xml:space="preserve">dotyczącego dokonywania przez głównego księgowego jednostki wstępnej kontroli </w:t>
              </w:r>
              <w:r w:rsidRPr="00785A79">
                <w:rPr>
                  <w:rFonts w:ascii="Arial" w:hAnsi="Arial" w:cs="Arial"/>
                  <w:sz w:val="24"/>
                  <w:shd w:val="clear" w:color="auto" w:fill="FFFFFF"/>
                </w:rPr>
                <w:t xml:space="preserve">kompletności i rzetelności dokumentów dotyczących operacji gospodarczych i finansowych. Weryfikacja dowodów księgowych wykazała, że w 2019 r., w ramach wstępnej kontroli, główny księgowy jednostki potwierdzał tylko zgodność operacji gospodarczych i finansowych z planem finansowym, (tj. w zakresie objętym art. 54 ust. 1 pkt 3a ustawy o finansach publicznych). </w:t>
              </w:r>
            </w:p>
            <w:p w:rsidR="004A1598" w:rsidRPr="00785A79" w:rsidRDefault="004A1598" w:rsidP="004A1598">
              <w:pPr>
                <w:pStyle w:val="Akapitzlist"/>
                <w:spacing w:after="0" w:line="360" w:lineRule="auto"/>
                <w:ind w:left="357"/>
                <w:jc w:val="both"/>
                <w:rPr>
                  <w:rFonts w:ascii="Arial" w:hAnsi="Arial" w:cs="Arial"/>
                  <w:i/>
                  <w:sz w:val="24"/>
                </w:rPr>
              </w:pPr>
              <w:r w:rsidRPr="00785A79">
                <w:rPr>
                  <w:rFonts w:ascii="Arial" w:hAnsi="Arial" w:cs="Arial"/>
                  <w:i/>
                  <w:sz w:val="24"/>
                </w:rPr>
                <w:t>Zgodnie z powołanym przepisem art. 54 ust. 1 ustawy o finansach publicznych, powierzenie przez kierownika jednostki obowiąz</w:t>
              </w:r>
              <w:r>
                <w:rPr>
                  <w:rFonts w:ascii="Arial" w:hAnsi="Arial" w:cs="Arial"/>
                  <w:i/>
                  <w:sz w:val="24"/>
                </w:rPr>
                <w:t>ków i odpowiedzialności m.in. w </w:t>
              </w:r>
              <w:r w:rsidRPr="00785A79">
                <w:rPr>
                  <w:rFonts w:ascii="Arial" w:hAnsi="Arial" w:cs="Arial"/>
                  <w:i/>
                  <w:sz w:val="24"/>
                </w:rPr>
                <w:t>zakresie dokonywania wstępnej kontroli stanowi element niezbędny do przydzielenia pracownikowi stanowiska głównego księgowego w jednostce. Z kolei w myśl art. 54 ust 3 powołanej ustawy – dowodem dokonania przez głównego księgowego wstępnej kontroli, o której mowa w ust. 1 pkt 3, jest jego podpis złożony na dokumentach dotyczących danej operacji. Złożenie podpi</w:t>
              </w:r>
              <w:r>
                <w:rPr>
                  <w:rFonts w:ascii="Arial" w:hAnsi="Arial" w:cs="Arial"/>
                  <w:i/>
                  <w:sz w:val="24"/>
                </w:rPr>
                <w:t>su przez głównego księgowego na </w:t>
              </w:r>
              <w:r w:rsidRPr="00785A79">
                <w:rPr>
                  <w:rFonts w:ascii="Arial" w:hAnsi="Arial" w:cs="Arial"/>
                  <w:i/>
                  <w:sz w:val="24"/>
                </w:rPr>
                <w:t>dokumencie obok podpisu pracownika właściwego rzeczowo, oznacza, że:</w:t>
              </w:r>
            </w:p>
            <w:p w:rsidR="004A1598" w:rsidRPr="00785A79" w:rsidRDefault="004A1598" w:rsidP="004A1598">
              <w:pPr>
                <w:pStyle w:val="Akapitzlist"/>
                <w:spacing w:after="0" w:line="360" w:lineRule="auto"/>
                <w:ind w:left="357"/>
                <w:jc w:val="both"/>
                <w:rPr>
                  <w:rFonts w:ascii="Arial" w:hAnsi="Arial" w:cs="Arial"/>
                  <w:i/>
                  <w:sz w:val="24"/>
                </w:rPr>
              </w:pPr>
              <w:r w:rsidRPr="00785A79">
                <w:rPr>
                  <w:rFonts w:ascii="Arial" w:hAnsi="Arial" w:cs="Arial"/>
                  <w:i/>
                  <w:sz w:val="24"/>
                </w:rPr>
                <w:t>1) nie zgłasza zastrzeżeń do przedstawionej przez właściwych rzeczowo pracowników oceny prawidłowości tej operacji i jej zgodności z prawem;</w:t>
              </w:r>
            </w:p>
            <w:p w:rsidR="004A1598" w:rsidRPr="00785A79" w:rsidRDefault="004A1598" w:rsidP="004A1598">
              <w:pPr>
                <w:tabs>
                  <w:tab w:val="left" w:pos="4962"/>
                </w:tabs>
                <w:spacing w:after="0" w:line="360" w:lineRule="auto"/>
                <w:ind w:left="357"/>
                <w:jc w:val="both"/>
                <w:rPr>
                  <w:rFonts w:cs="Arial"/>
                  <w:i/>
                </w:rPr>
              </w:pPr>
              <w:r w:rsidRPr="00785A79">
                <w:rPr>
                  <w:rFonts w:cs="Arial"/>
                  <w:i/>
                </w:rPr>
                <w:t>2) nie zgłasza zastrzeżeń do kompletności oraz formalno-rachunkowej rzetelności i prawidłowości dokumentów dotyczących tej operacji;</w:t>
              </w:r>
            </w:p>
            <w:p w:rsidR="004A1598" w:rsidRPr="00785A79" w:rsidRDefault="004A1598" w:rsidP="004A1598">
              <w:pPr>
                <w:tabs>
                  <w:tab w:val="left" w:pos="4962"/>
                </w:tabs>
                <w:spacing w:after="120" w:line="360" w:lineRule="auto"/>
                <w:ind w:left="357"/>
                <w:jc w:val="both"/>
                <w:rPr>
                  <w:rFonts w:cs="Arial"/>
                  <w:i/>
                </w:rPr>
              </w:pPr>
              <w:r w:rsidRPr="00785A79">
                <w:rPr>
                  <w:rFonts w:cs="Arial"/>
                  <w:i/>
                </w:rPr>
                <w:t>3) zobowiązania wynikające z operacji mieszczą się w planie finansowym jednostki.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352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eastAsia="Times New Roman" w:hAnsi="Arial" w:cs="Arial"/>
                  <w:sz w:val="24"/>
                </w:rPr>
                <w:t xml:space="preserve">Przyjęte w jednostce rozwiązania (opis wyżej w punkcie 6 niniejszego wystąpienia) naruszały </w:t>
              </w:r>
              <w:r w:rsidRPr="00785A79">
                <w:rPr>
                  <w:rFonts w:ascii="Arial" w:hAnsi="Arial" w:cs="Arial"/>
                  <w:sz w:val="24"/>
                </w:rPr>
                <w:t xml:space="preserve">art. 54 ust. 1 ustawy o finansach publicznych, zgodnie z którym powierzenie przez kierownika jednostki obowiązków i odpowiedzialności m.in. w zakresie dokonywania wstępnej kontroli stanowi element niezbędny do przydzielenia pracownikowi stanowiska głównego księgowego w jednostce i poza przypadkami sprawowania zastępstwa w czasie jego nieobecności, kontrola ta nie może być wykonywana przez inną osobę. Kontrola wykazała, że sekretarz szkoły posiadał jedynie </w:t>
              </w:r>
              <w:r w:rsidRPr="00785A79">
                <w:rPr>
                  <w:rFonts w:ascii="Arial" w:eastAsia="Times New Roman" w:hAnsi="Arial" w:cs="Arial"/>
                  <w:sz w:val="24"/>
                </w:rPr>
                <w:t>indywidualne upoważnienie udzielone na podstawie art. 53 ust. 2 ustawy o finansach publicznych, do dokonywania kontroli wydatku pod względem formalno-rachunkowym. M</w:t>
              </w:r>
              <w:r w:rsidRPr="00785A79">
                <w:rPr>
                  <w:rFonts w:ascii="Arial" w:hAnsi="Arial" w:cs="Arial"/>
                  <w:sz w:val="24"/>
                </w:rPr>
                <w:t xml:space="preserve">ając zatem na uwadze zakres udzielonych upoważnień i treść pieczątek wykorzystywanych w modelowym obiegu dokumentów, sekretarz szkoły dokonywał kontroli formalno-rachunkowej dowodu księgowego szkoły, podpisując się na pieczęci o treści „sprawdzono pod względem formalno-rachunkowym…”, nie dysponował natomiast upoważnieniem do dokonywania kontroli wstępnej zastrzeżonej do kompetencji głównego księgowego. </w:t>
              </w: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352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Główny księgowy podpisywał się na pieczątce o treści „wydatek mieści się w planie finansowym…”, a zatem nie potwierdzał przeprowadzenia kontroli wstępnej w pełnym zakresie.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tabs>
                  <w:tab w:val="left" w:pos="4962"/>
                </w:tabs>
                <w:spacing w:line="360" w:lineRule="auto"/>
                <w:ind w:left="360"/>
                <w:contextualSpacing w:val="0"/>
                <w:jc w:val="both"/>
                <w:rPr>
                  <w:rFonts w:ascii="Arial" w:hAnsi="Arial" w:cs="Arial"/>
                  <w:color w:val="333333"/>
                  <w:sz w:val="24"/>
                  <w:shd w:val="clear" w:color="auto" w:fill="FFFFFF"/>
                </w:rPr>
              </w:pPr>
              <w:r w:rsidRPr="00785A79">
                <w:rPr>
                  <w:rFonts w:ascii="Arial" w:hAnsi="Arial" w:cs="Arial"/>
                  <w:color w:val="333333"/>
                  <w:sz w:val="24"/>
                  <w:shd w:val="clear" w:color="auto" w:fill="FFFFFF"/>
                </w:rPr>
                <w:t xml:space="preserve">Brak potwierdzenia sprawdzenia i zakwalifikowania dowodu </w:t>
              </w:r>
              <w:r w:rsidRPr="00785A79">
                <w:rPr>
                  <w:rFonts w:ascii="Arial" w:hAnsi="Arial" w:cs="Arial"/>
                  <w:sz w:val="24"/>
                  <w:shd w:val="clear" w:color="auto" w:fill="FFFFFF"/>
                </w:rPr>
                <w:t xml:space="preserve">księgowego (faktur zakupu) </w:t>
              </w:r>
              <w:r w:rsidRPr="00785A79">
                <w:rPr>
                  <w:rFonts w:ascii="Arial" w:hAnsi="Arial" w:cs="Arial"/>
                  <w:color w:val="333333"/>
                  <w:sz w:val="24"/>
                  <w:shd w:val="clear" w:color="auto" w:fill="FFFFFF"/>
                </w:rPr>
                <w:t xml:space="preserve">do ujęcia w księgach rachunkowych przez wskazanie miesiąca – na fakturach wskazany był tylko sposób ujęcia dowodu w księgach rachunkowych (dekretacja) oraz podpis osoby odpowiedzialnej za te wskazania. Zgodnie </w:t>
              </w:r>
              <w:r>
                <w:rPr>
                  <w:rFonts w:ascii="Arial" w:hAnsi="Arial" w:cs="Arial"/>
                  <w:color w:val="333333"/>
                  <w:sz w:val="24"/>
                  <w:shd w:val="clear" w:color="auto" w:fill="FFFFFF"/>
                </w:rPr>
                <w:t>z art. 21 ust. 1 pkt 6 ustawy o </w:t>
              </w:r>
              <w:r w:rsidRPr="00785A79">
                <w:rPr>
                  <w:rFonts w:ascii="Arial" w:hAnsi="Arial" w:cs="Arial"/>
                  <w:color w:val="333333"/>
                  <w:sz w:val="24"/>
                  <w:shd w:val="clear" w:color="auto" w:fill="FFFFFF"/>
                </w:rPr>
                <w:t>rachunkowości dowód księgowy powinien zawierać (m.in.) stwierdzenie sprawdzenia i zakwalifikowania dowodu do ujęcia w księgach rachunkowych przez wskazanie miesiąca oraz sposobu ujęcia dowodu w księgach rachunkowych (dekretacja), podpis osoby odpowiedzialnej za te wskazania.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tabs>
                  <w:tab w:val="left" w:pos="4962"/>
                </w:tabs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Ujmowanie w księgach rachunkowych faktur zakupu w sposób naruszający: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98" w:hanging="278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art. 20 ust. 1 ustawy o rachunkowości, zgodnie z którym </w:t>
              </w:r>
              <w:r w:rsidRPr="00785A79">
                <w:rPr>
                  <w:rFonts w:ascii="Arial" w:hAnsi="Arial" w:cs="Arial"/>
                  <w:i/>
                  <w:sz w:val="24"/>
                </w:rPr>
                <w:t>do ksiąg rachunkowych okresu sprawozdawczego należy wprowadzić, w postaci zapisu, każde zdarzenie, które nastąpiło w tym okresie sprawozdawczym</w:t>
              </w:r>
              <w:r>
                <w:rPr>
                  <w:rStyle w:val="Odwoanieprzypisudolnego"/>
                  <w:rFonts w:ascii="Arial" w:hAnsi="Arial" w:cs="Arial"/>
                  <w:i/>
                  <w:sz w:val="24"/>
                </w:rPr>
                <w:footnoteReference w:id="17"/>
              </w:r>
              <w:r w:rsidRPr="00785A79">
                <w:rPr>
                  <w:rFonts w:ascii="Arial" w:hAnsi="Arial" w:cs="Arial"/>
                  <w:i/>
                  <w:sz w:val="24"/>
                </w:rPr>
                <w:t>;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98" w:hanging="278"/>
                <w:jc w:val="both"/>
                <w:rPr>
                  <w:rFonts w:ascii="Arial" w:hAnsi="Arial" w:cs="Arial"/>
                  <w:i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art. 6 ust. 2 ustawy o rachunkowości, definiującym tzw. zasadę współmierności zgodnie z którą </w:t>
              </w:r>
              <w:r w:rsidRPr="00785A79">
                <w:rPr>
                  <w:rFonts w:ascii="Arial" w:hAnsi="Arial" w:cs="Arial"/>
                  <w:i/>
                  <w:sz w:val="24"/>
                </w:rPr>
                <w:t xml:space="preserve">dla zapewnienia współmierności przychodów i związanych z nimi kosztów do aktywów lub pasywów danego okresu sprawozdawczego zaliczane będą koszty lub przychody dotyczące przyszłych okresów oraz przypadające na ten okres sprawozdawczy koszty, które jeszcze nie zostały poniesione. </w:t>
              </w:r>
            </w:p>
            <w:p w:rsidR="004A1598" w:rsidRPr="00785A79" w:rsidRDefault="004A1598" w:rsidP="004A1598">
              <w:pPr>
                <w:tabs>
                  <w:tab w:val="left" w:pos="1418"/>
                </w:tabs>
                <w:spacing w:after="120" w:line="360" w:lineRule="auto"/>
                <w:ind w:left="420"/>
                <w:jc w:val="both"/>
                <w:rPr>
                  <w:rFonts w:cs="Arial"/>
                </w:rPr>
              </w:pPr>
              <w:r w:rsidRPr="00785A79">
                <w:rPr>
                  <w:rFonts w:cs="Arial"/>
                </w:rPr>
                <w:t>Wykazano, że przyjęte w jednostce zasady ujmowania w koszty poszczególnych okresów sprawozdawczych wydatków z faktur wpływających na początku miesiąca, wynikają z realizowania nieprawidłowych zapisów w po</w:t>
              </w:r>
              <w:r>
                <w:rPr>
                  <w:rFonts w:cs="Arial"/>
                </w:rPr>
                <w:t>lityce rachunkowości, zgodnie z </w:t>
              </w:r>
              <w:r w:rsidRPr="00785A79">
                <w:rPr>
                  <w:rFonts w:cs="Arial"/>
                </w:rPr>
                <w:t xml:space="preserve">którymi zasada współmierności stosowana była tylko </w:t>
              </w:r>
              <w:r>
                <w:rPr>
                  <w:rFonts w:cs="Arial"/>
                </w:rPr>
                <w:t>do miesięcy kończących kwartał.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tabs>
                  <w:tab w:val="left" w:pos="4962"/>
                </w:tabs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Naruszenie wskazanych w § 7 ust. 5 zarządzenia nr 357 (oraz powtórzonych w ust. 35 rozdziału VII Psrp VAT) zasad prawidłowego i rzetelnego prowadzenia w 2019 r. cząstkowych rejestrów zakupu, poprzez: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98" w:hanging="278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wykazywaniu w cząstkowych rejestrach zakupu wyłącznie do wysokości wartości nabytych towarów i usług klasyfikowanych w dziale 801, rozdziale 80101 – szkoły podstawowe (zamiast pełnych wartości wynikających z faktur zakupu), co spowodowało, że kwota podatku naliczonego do odliczenia w 2019 roku była niższa o 5,20 zł od kwoty jaka mogła podlegać odliczeniu z tytułu nabycia w 2019 r. usług i towarów związanych ze sprzedażą mieszaną.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698" w:hanging="278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wykazywanie w rejestrach danych takich jak data wystawienia dowodu zakupu (faktury), data wpływu  faktury do jednostki niezgodnych  ze stanem faktycznym.</w:t>
              </w: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  <w:b/>
                  <w:bCs/>
                  <w:i/>
                  <w:iCs/>
                </w:rPr>
              </w:pPr>
              <w:r w:rsidRPr="00785A79">
                <w:rPr>
                  <w:rFonts w:cs="Arial"/>
                  <w:b/>
                  <w:bCs/>
                  <w:i/>
                  <w:iCs/>
                </w:rPr>
                <w:t>W zakresie terminowości sporządzania deklaracji cząstkowych VAT oraz przekazywania należnego podatku VAT na rachunek Miasta: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tabs>
                  <w:tab w:val="left" w:pos="4962"/>
                </w:tabs>
                <w:spacing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Kontrola wykazała, że w 2019r. jednostka nie przestrzegała w pełni terminów określonych w Psrp VAT na: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916" w:hanging="278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 przekazanie do Referatu Księgowości Urzędu Miasta Piotrkowa Trybunalskiego wersji papierowych cząstkowych deklaracji VAT wraz z cząstkowymi rejestrami sprzedaży i zakupów, do 12-tego dnia miesiąca następującego po miesiącu, którego deklaracja dotyczy, lub w dniu roboczym poprzedzającym ten dzień, jeżeli 12 dzień miesiąca jest dniem wolnym od pracy (w 5 przypadkach stwierdzono opóźnienie, maksymalnie o 7 dni).</w:t>
              </w:r>
            </w:p>
            <w:p w:rsidR="004A1598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916" w:hanging="278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dokonanie wpłaty zobowiązania z tytułu VAT należnego na rachunek Miasta Piotrkowa Trybunalskiego, do 20-go dnia miesiąca następującego po miesiącu, za który rozliczana jest deklaracja VAT (stwierdzono 2 przypadki przekroczenia terminu o 3 dni).</w:t>
              </w:r>
            </w:p>
            <w:p w:rsidR="004A1598" w:rsidRPr="00785A79" w:rsidRDefault="004A1598" w:rsidP="004A1598">
              <w:pPr>
                <w:pStyle w:val="Akapitzlist"/>
                <w:tabs>
                  <w:tab w:val="left" w:pos="1418"/>
                </w:tabs>
                <w:spacing w:after="120" w:line="360" w:lineRule="auto"/>
                <w:ind w:left="916"/>
                <w:jc w:val="both"/>
                <w:rPr>
                  <w:rFonts w:ascii="Arial" w:hAnsi="Arial" w:cs="Arial"/>
                  <w:sz w:val="24"/>
                </w:rPr>
              </w:pPr>
            </w:p>
            <w:p w:rsidR="004A1598" w:rsidRPr="00785A79" w:rsidRDefault="004A1598" w:rsidP="004A1598">
              <w:pPr>
                <w:spacing w:line="360" w:lineRule="auto"/>
                <w:jc w:val="both"/>
                <w:rPr>
                  <w:rFonts w:cs="Arial"/>
                  <w:b/>
                  <w:bCs/>
                  <w:i/>
                  <w:iCs/>
                </w:rPr>
              </w:pPr>
              <w:r w:rsidRPr="00785A79">
                <w:rPr>
                  <w:rFonts w:cs="Arial"/>
                  <w:b/>
                  <w:bCs/>
                  <w:i/>
                  <w:iCs/>
                </w:rPr>
                <w:t>W zakresie prowadzenia ewidencji księgowej dla potrzeb rozliczania podatku VAT: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6"/>
                </w:numPr>
                <w:tabs>
                  <w:tab w:val="left" w:pos="4962"/>
                </w:tabs>
                <w:spacing w:after="120" w:line="360" w:lineRule="auto"/>
                <w:ind w:left="714" w:hanging="357"/>
                <w:contextualSpacing w:val="0"/>
                <w:jc w:val="both"/>
                <w:rPr>
                  <w:rFonts w:ascii="Arial" w:hAnsi="Arial" w:cs="Arial"/>
                  <w:bCs/>
                  <w:iCs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Ewidencjonowanie operacji związanych  z podatkiem od towarów i usług w sposób uniemożliwiający ustalenie kwoty podatku VAT naliczonego do odliczenia w danym miesiącu, co stanowiło naruszenie określonych w rozdziale VIII Psrp VAT zasad ewidencji na kontach analitycznych utworzonych do konta syntetycznego 225 dla potrzeb rozliczania podatku VAT, poprzez: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976" w:hanging="278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zaksięgowanie rocznej korekty podatku VAT naliczonego – jako zapisów ujemnych po stronie Wn konta 225-VJ1# - </w:t>
              </w:r>
              <w:r w:rsidRPr="00785A79">
                <w:rPr>
                  <w:rFonts w:ascii="Arial" w:hAnsi="Arial" w:cs="Arial"/>
                  <w:i/>
                  <w:sz w:val="24"/>
                </w:rPr>
                <w:t>rozliczenie podatku VAT naliczonego w danym miesiącu. S</w:t>
              </w:r>
              <w:r w:rsidRPr="00785A79">
                <w:rPr>
                  <w:rFonts w:ascii="Arial" w:hAnsi="Arial" w:cs="Arial"/>
                  <w:sz w:val="24"/>
                </w:rPr>
                <w:t>kutkiem takiego zapisu było zniekształcenie salda konta na koniec lutego 2019 r., które nie wskazywało wysokości VAT naliczonego z faktur zakupu do odliczenia w tym miesiącu. Jednostka nie uregulowała w zakładowym planie kont zasad ewidencji na kontach służących rozliczaniu podatku VAT zda</w:t>
              </w:r>
              <w:r>
                <w:rPr>
                  <w:rFonts w:ascii="Arial" w:hAnsi="Arial" w:cs="Arial"/>
                  <w:sz w:val="24"/>
                </w:rPr>
                <w:t>rzeń w </w:t>
              </w:r>
              <w:r w:rsidRPr="00785A79">
                <w:rPr>
                  <w:rFonts w:ascii="Arial" w:hAnsi="Arial" w:cs="Arial"/>
                  <w:sz w:val="24"/>
                </w:rPr>
                <w:t xml:space="preserve">związku ustaleniem wskaźnika struktury sprzedaży i przekaźnika na podstawie danych rzeczywistych.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976" w:hanging="278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niewłaściwe wykorzystywanie konta 225-VJ3# - VAT naliczony do rozliczenia w następnym okresie (w związku z praktyką ujmowania wydatków w ewidencji kosztów i zobowiązań miesiąca, którego dotyczą, tylko na potrzeby sprawozdań kwartalnych, jednostka ewidencjonowała podatek VAT do odliczenia w następnym okresie tylko w miesiącach kończących kwartał);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5"/>
                </w:numPr>
                <w:tabs>
                  <w:tab w:val="left" w:pos="1418"/>
                </w:tabs>
                <w:spacing w:after="120" w:line="360" w:lineRule="auto"/>
                <w:ind w:left="976" w:hanging="278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błędne (omyłkowe) ewidencjonowanie podatku na kontach dalszej agregacji wg różnych stawek (np. zaewidencjonowanie podatku VAT wg stawki 8 % na konto dla podatku VAT 23 %), wymagające dokonania korekt w celu uzyskania właściwych sald.</w:t>
              </w:r>
            </w:p>
            <w:p w:rsidR="004A1598" w:rsidRPr="00785A79" w:rsidRDefault="004A1598" w:rsidP="004A1598">
              <w:pPr>
                <w:pStyle w:val="Akapitzlist"/>
                <w:spacing w:after="0" w:line="360" w:lineRule="auto"/>
                <w:ind w:left="0"/>
                <w:rPr>
                  <w:rFonts w:ascii="Arial" w:hAnsi="Arial" w:cs="Arial"/>
                  <w:b/>
                  <w:bCs/>
                  <w:sz w:val="24"/>
                </w:rPr>
              </w:pPr>
            </w:p>
            <w:p w:rsidR="004A1598" w:rsidRPr="00785A79" w:rsidRDefault="004A1598" w:rsidP="004A1598">
              <w:pPr>
                <w:pStyle w:val="Akapitzlist"/>
                <w:spacing w:after="120" w:line="360" w:lineRule="auto"/>
                <w:ind w:left="0"/>
                <w:contextualSpacing w:val="0"/>
                <w:rPr>
                  <w:rFonts w:ascii="Arial" w:hAnsi="Arial" w:cs="Arial"/>
                  <w:b/>
                  <w:bCs/>
                  <w:sz w:val="24"/>
                </w:rPr>
              </w:pPr>
              <w:r w:rsidRPr="00785A79">
                <w:rPr>
                  <w:rFonts w:ascii="Arial" w:hAnsi="Arial" w:cs="Arial"/>
                  <w:b/>
                  <w:bCs/>
                  <w:sz w:val="24"/>
                </w:rPr>
                <w:t>W celu wyeliminowania stwierdzonych nieprawidłowości polecam: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0" w:line="360" w:lineRule="auto"/>
                <w:ind w:left="36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Przestrzegać standardów kontroli zarządczej w zakresie delegowania uprawnień pracownikom jednostki:</w:t>
              </w:r>
            </w:p>
            <w:p w:rsidR="004A1598" w:rsidRPr="00785A79" w:rsidRDefault="004A1598" w:rsidP="004A1598">
              <w:pPr>
                <w:pStyle w:val="Tekstkomentarza"/>
                <w:numPr>
                  <w:ilvl w:val="1"/>
                  <w:numId w:val="8"/>
                </w:numPr>
                <w:spacing w:after="0" w:line="360" w:lineRule="auto"/>
                <w:ind w:left="720"/>
                <w:jc w:val="both"/>
                <w:rPr>
                  <w:rFonts w:cs="Arial"/>
                  <w:sz w:val="24"/>
                  <w:szCs w:val="22"/>
                </w:rPr>
              </w:pPr>
              <w:r w:rsidRPr="00785A79">
                <w:rPr>
                  <w:rFonts w:cs="Arial"/>
                  <w:sz w:val="24"/>
                  <w:szCs w:val="22"/>
                </w:rPr>
                <w:t xml:space="preserve">skoordynować uprawnienia delegowane wicedyrektorom szkoły, a w szczególności te, które odnoszą się do obowiązków i odpowiedzialności kierownika jednostki, </w:t>
              </w:r>
              <w:r>
                <w:rPr>
                  <w:rFonts w:cs="Arial"/>
                  <w:sz w:val="24"/>
                  <w:szCs w:val="22"/>
                </w:rPr>
                <w:t>o </w:t>
              </w:r>
              <w:r w:rsidRPr="00785A79">
                <w:rPr>
                  <w:rFonts w:cs="Arial"/>
                  <w:sz w:val="24"/>
                  <w:szCs w:val="22"/>
                </w:rPr>
                <w:t>których mowa w ust. 52 rozdziału I Psrp VAT, stanowiących załącznik nr 2 do obowiązującego zarządzenia Nr 378 Prezydenta Miasta Piotrkowa Tryb. z dnia 15.12.2020 r. – w celu zapewnienia skutecznej odpowiedzialności za wykonywanie przez pracowników powierzonych zadań w czasie nieobecności w pracy dyrektora szkoły, a także ciągłości działania jednostki,</w:t>
              </w:r>
            </w:p>
            <w:p w:rsidR="004A1598" w:rsidRPr="00785A79" w:rsidRDefault="004A1598" w:rsidP="004A1598">
              <w:pPr>
                <w:pStyle w:val="Tekstkomentarza"/>
                <w:numPr>
                  <w:ilvl w:val="1"/>
                  <w:numId w:val="8"/>
                </w:numPr>
                <w:spacing w:after="120" w:line="360" w:lineRule="auto"/>
                <w:ind w:left="714" w:hanging="357"/>
                <w:jc w:val="both"/>
                <w:rPr>
                  <w:rFonts w:cs="Arial"/>
                  <w:sz w:val="24"/>
                  <w:szCs w:val="22"/>
                </w:rPr>
              </w:pPr>
              <w:r w:rsidRPr="00785A79">
                <w:rPr>
                  <w:rFonts w:cs="Arial"/>
                  <w:sz w:val="24"/>
                  <w:szCs w:val="22"/>
                </w:rPr>
                <w:t xml:space="preserve"> precyzyjnie określać zakres spraw objętych delegowaniem.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Zadbać, aby upoważnienia wydawane innym pracownikom jednostki opatrzone były datą ich wydania i przyjęcia przez pracownika, m.in. w celu precyzyjnego i bezspornego ustalenia terminu ich obowiązywania.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6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Dostosować przyjęte zasady (politykę) rachunkowości do wymogów przepisów ustawy o rachunkowości – art. 6 ust. 2 (definiującym zasadę współmierności przychodów i związanych z nimi kosztów) oraz art. 20 ust.1 (zgodnie z którym – </w:t>
              </w:r>
              <w:r w:rsidRPr="00785A79">
                <w:rPr>
                  <w:rFonts w:ascii="Arial" w:hAnsi="Arial" w:cs="Arial"/>
                  <w:i/>
                  <w:sz w:val="24"/>
                </w:rPr>
                <w:t>do ksiąg rachunkowych okresu sprawozdawczego należy wprowadzić, w postaci zapisu, każde zdarzenie, które nastąpiło w tym okresie sprawozdawczym</w:t>
              </w:r>
              <w:r w:rsidRPr="00785A79">
                <w:rPr>
                  <w:rFonts w:ascii="Arial" w:hAnsi="Arial" w:cs="Arial"/>
                  <w:sz w:val="24"/>
                </w:rPr>
                <w:t xml:space="preserve">).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6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Utworzyć wszystkie wymagane przez Miasto konta księgowe służące rozliczaniu podatku VAT w związku z jego centralizacją (stosownie do obowiązującego zarządzenia Nr 378 Prezydenta Miasta Piotrkowa Tryb. z dnia 15.12.2020 r.); opisać i przestrzegać zasady ewidencji zdarzeń na tych kontach, w celu zapewnienia zgodności zapisów w</w:t>
              </w:r>
              <w:r>
                <w:rPr>
                  <w:rFonts w:ascii="Arial" w:hAnsi="Arial" w:cs="Arial"/>
                  <w:sz w:val="24"/>
                </w:rPr>
                <w:t> </w:t>
              </w:r>
              <w:r w:rsidRPr="00785A79">
                <w:rPr>
                  <w:rFonts w:ascii="Arial" w:hAnsi="Arial" w:cs="Arial"/>
                  <w:sz w:val="24"/>
                </w:rPr>
                <w:t>księgach rachunkowych jednostki z danymi wykazywanymi w cząstkowej informacji o podatku od towarów i usług.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6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Przestrzegać przepisów art. 90 ust. 2 i nast. ustawy o podatku od towarów i usług oraz rozdziału III lit. C Psrp VAT przy obliczaniu wartości wskaźnika struktury sprzedaży oraz § 3 ust. 3 rozporządzenia MF z 17.12.2015 r. przy obliczaniu wartości prewskaźnika – dla potrzeb odliczania podatku VAT naliczonego.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Przestrzegać wymogów obowiązującego zarządzenia nr 183 Prezydenta Miasta Piotrkowa Trybunalskiego z dnia 17.06.2020 r. w sprawie wprowadzenia zasad najmu pomieszczeń w jednostkach oświatowych prowadzonych przez Miasto Piotrków Trybunalski, a w szczególności: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7"/>
                </w:numPr>
                <w:spacing w:after="120" w:line="360" w:lineRule="auto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każdorazowy najem pomieszczeń poprzedzać zawarciem pisemnej umowy najmu,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7"/>
                </w:numPr>
                <w:spacing w:after="120" w:line="360" w:lineRule="auto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w kalkulacji sporządzanej na potrzeby ustalenia wysokości stawki za najem uwzględniać koszty osobowe, tj. wynagrodzenie pracowników niepedagogicznych,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7"/>
                </w:numPr>
                <w:spacing w:after="120" w:line="360" w:lineRule="auto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postanowienia umów najmu redagować precyzyjnie i szczegółowo, w celu uniknięcia rozbieżności w ich interpretacji,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7"/>
                </w:numPr>
                <w:spacing w:after="120" w:line="360" w:lineRule="auto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przed zawarciem umowy uzyskać potwierdzenie sprawdzenia pod względem formalno-prawnym projektu umowy w Biurze Prawnym Urzędu Miasta,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7"/>
                </w:numPr>
                <w:spacing w:after="120" w:line="360" w:lineRule="auto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świadczone usługi najmu rozliczać zgodnie z postanowieniami obowiązujących umów,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0"/>
                  <w:numId w:val="7"/>
                </w:numPr>
                <w:spacing w:after="120" w:line="360" w:lineRule="auto"/>
                <w:ind w:left="107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wszystkie zmiany postanowień umów najmu pomieszczeń dydaktycznych szkoły aneksować w formie pisemnej dla zachowania ich ważności.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6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Wzmocnić nadzór i zobowiązać pracownika odpowiedzialnego za prowadzenie ewidencji sprzedaży dla potrzeb podatku VAT do rzetelnego wykazywania w nich danych dotyczących sprzedaży realizowanej w jednostce, w celu prawidłowego sporządzania informacji o podatku od towarów i usług za dany miesiąc.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Zapewnić skuteczne, zgodne z przepisami prawa i standardów kontroli zarządczej mechanizmy kontroli w zakresie operacji finansowych i gospodarczych. W tym celu zweryfikować postanowienia </w:t>
              </w:r>
              <w:r w:rsidRPr="00785A79">
                <w:rPr>
                  <w:rFonts w:ascii="Arial" w:hAnsi="Arial" w:cs="Arial"/>
                  <w:i/>
                  <w:sz w:val="24"/>
                </w:rPr>
                <w:t>Instrukcji obiegu i kontroli dokumentów finansowo-księgowych oraz ich przechowywania</w:t>
              </w:r>
              <w:r w:rsidRPr="00785A79">
                <w:rPr>
                  <w:rFonts w:ascii="Arial" w:hAnsi="Arial" w:cs="Arial"/>
                  <w:sz w:val="24"/>
                </w:rPr>
                <w:t xml:space="preserve"> oraz przestrzegać wymogów odnoszących się do sposobów dokumentowania tej kontroli.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Przestrzegać w pełni wymogu formalnego dowodów księgowych, o którym mowa w art. 21 ust. 1 pkt 6 ustawy o rachunkowości; na dowodach księgowych potwierdzać dokonanie sprawdzenia i zakwalifikowania dowodu do ujęcia w księgach rachunkowych m.in. przez wskazanie miesiąca oraz podpis osoby odpowiedzialnej za ww. wskazanie.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 xml:space="preserve">Przy ujmowaniu w księgach rachunkowych faktur zakupu przestrzegać zasady współmierności, którą definiuje art. 6 ust. 2 ustawy o rachunkowości. 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Zapewnić prawidłowe i rzetelne prowadzenie rejestrów zakupu, poprzez wykazywanie w</w:t>
              </w:r>
              <w:r>
                <w:rPr>
                  <w:rFonts w:ascii="Arial" w:hAnsi="Arial" w:cs="Arial"/>
                  <w:sz w:val="24"/>
                </w:rPr>
                <w:t> </w:t>
              </w:r>
              <w:r w:rsidRPr="00785A79">
                <w:rPr>
                  <w:rFonts w:ascii="Arial" w:hAnsi="Arial" w:cs="Arial"/>
                  <w:sz w:val="24"/>
                </w:rPr>
                <w:t>nich danych</w:t>
              </w:r>
              <w:r>
                <w:rPr>
                  <w:rFonts w:ascii="Arial" w:hAnsi="Arial" w:cs="Arial"/>
                  <w:sz w:val="24"/>
                </w:rPr>
                <w:t xml:space="preserve"> wynikających</w:t>
              </w:r>
              <w:r w:rsidRPr="00785A79">
                <w:rPr>
                  <w:rFonts w:ascii="Arial" w:hAnsi="Arial" w:cs="Arial"/>
                  <w:sz w:val="24"/>
                </w:rPr>
                <w:t xml:space="preserve"> z dokumentów źródłowych, tj. faktur zakupu, zakwalifikowanych do odliczenia podatku naliczonego (odpowiedzialność w tym zakresie, zgodnie z § 4 ust. 3 obowiązującego Zarządzenia Nr 378 Prezydenta Miasta Piotrkowa Tryb. z dnia 15.12.2020 r., spoczywa na kierowniku jednostki i jej głównym księgowym).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Przestrzegać terminów składania cząstkowej informacji o podatku od towarów i usług oraz c</w:t>
              </w:r>
              <w:r>
                <w:rPr>
                  <w:rFonts w:ascii="Arial" w:hAnsi="Arial" w:cs="Arial"/>
                  <w:sz w:val="24"/>
                </w:rPr>
                <w:t xml:space="preserve">ząstkowego rejestru sprzedaży i </w:t>
              </w:r>
              <w:r w:rsidRPr="00785A79">
                <w:rPr>
                  <w:rFonts w:ascii="Arial" w:hAnsi="Arial" w:cs="Arial"/>
                  <w:sz w:val="24"/>
                </w:rPr>
                <w:t>cząstkowego rejestru zakupu oraz terminów przekazywania zobowiązania z tytułu VAT należnego na rachunek Miasta, określonych w ust. 32 pkt 2 i 3 i 42 rozdziału I Psrp VAT,</w:t>
              </w:r>
              <w:r>
                <w:rPr>
                  <w:rFonts w:ascii="Arial" w:hAnsi="Arial" w:cs="Arial"/>
                  <w:sz w:val="24"/>
                </w:rPr>
                <w:t xml:space="preserve"> stanowiących załącznik nr 2 do </w:t>
              </w:r>
              <w:r w:rsidRPr="00785A79">
                <w:rPr>
                  <w:rFonts w:ascii="Arial" w:hAnsi="Arial" w:cs="Arial"/>
                  <w:sz w:val="24"/>
                </w:rPr>
                <w:t>obowiązującego Zarządzenia Nr 378 Prezydenta Miasta Piotrkowa Tryb. z dnia 15.12.2020 r.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60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W przypadkach stwierdzenia nieprawidłowości w prowadzonej ewidencji lub zaistnienia innych okoliczności wymagających dokonania korekty – niezwłocznie dokonać korekty cząstkowej informacji o podatku od towarów i usług  wraz z pisemnym uzasadnieniem przyczyn korekty oraz dokonać ponownego generowania cząstkowego JPK_V7M, zgodnie z § 4 ust. 5 obowiązującego Zarządzenia Nr 378 Prezydenta Miasta Piotrkowa Tryb. z dnia 15.12.2020 r.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Wzmocnić działania monitorujące i nadzorcze nad prawidłową realizacją obowiązków wynikających z ustawy o podatku od towarów i usług i regulacji wewnętrznych w tym zakresie.</w:t>
              </w:r>
            </w:p>
            <w:p w:rsidR="004A1598" w:rsidRPr="00785A79" w:rsidRDefault="004A1598" w:rsidP="004A1598">
              <w:pPr>
                <w:pStyle w:val="Akapitzlist"/>
                <w:numPr>
                  <w:ilvl w:val="3"/>
                  <w:numId w:val="2"/>
                </w:numPr>
                <w:spacing w:after="120" w:line="360" w:lineRule="auto"/>
                <w:ind w:left="357" w:hanging="357"/>
                <w:contextualSpacing w:val="0"/>
                <w:jc w:val="both"/>
                <w:rPr>
                  <w:rFonts w:ascii="Arial" w:hAnsi="Arial" w:cs="Arial"/>
                  <w:sz w:val="24"/>
                </w:rPr>
              </w:pPr>
              <w:r w:rsidRPr="00785A79">
                <w:rPr>
                  <w:rFonts w:ascii="Arial" w:hAnsi="Arial" w:cs="Arial"/>
                  <w:sz w:val="24"/>
                </w:rPr>
                <w:t>Podjąć działania wzmacniające kontrolę zarządczą w celu pełnego urzeczywistnienia, określonego w at. 68 ust.1 ustawy o finansach publicznych, wymogu zapewnienia realizacji celów i zadań kierowanej przez Pana jednostki w sposób zgodny z prawem, efektywny, oszczędny i terminowy.</w:t>
              </w:r>
            </w:p>
            <w:p w:rsidR="004A1598" w:rsidRPr="002E552A" w:rsidRDefault="004A1598" w:rsidP="004A1598">
              <w:pPr>
                <w:spacing w:before="240" w:after="120" w:line="360" w:lineRule="auto"/>
                <w:jc w:val="both"/>
                <w:rPr>
                  <w:rFonts w:cs="Arial"/>
                  <w:szCs w:val="24"/>
                </w:rPr>
              </w:pPr>
              <w:r w:rsidRPr="002E552A">
                <w:rPr>
                  <w:rFonts w:cs="Arial"/>
                  <w:szCs w:val="24"/>
                </w:rPr>
                <w:t>Proszę w terminie 14 dni od daty otrzymania wystąpienia pokontrolnego poinformować o sposobie wykonania zaleceń, działaniach podjętych w celu usunięcia stwierdzonych nieprawidłowości lub przyczynach ich niewykonania.</w:t>
              </w:r>
            </w:p>
            <w:p w:rsidR="004A1598" w:rsidRPr="00F140BC" w:rsidRDefault="00953650" w:rsidP="004A1598">
              <w:pPr>
                <w:pStyle w:val="Trepisma"/>
                <w:rPr>
                  <w:szCs w:val="24"/>
                </w:rPr>
              </w:pPr>
            </w:p>
          </w:sdtContent>
        </w:sdt>
      </w:sdtContent>
    </w:sdt>
    <w:bookmarkEnd w:id="3" w:displacedByCustomXml="next"/>
    <w:sdt>
      <w:sdtPr>
        <w:id w:val="-208809442"/>
        <w:placeholder>
          <w:docPart w:val="EF61FD8E4EBF441485D9D4D168483523"/>
        </w:placeholder>
        <w:text w:multiLine="1"/>
      </w:sdtPr>
      <w:sdtEndPr/>
      <w:sdtContent>
        <w:p w:rsidR="004A1598" w:rsidRPr="007D43CC" w:rsidRDefault="004A1598" w:rsidP="004A1598">
          <w:pPr>
            <w:pStyle w:val="Stanowisko"/>
          </w:pPr>
          <w:r>
            <w:t>Z up. Prezydenta Miasta</w:t>
          </w:r>
          <w:r>
            <w:br/>
            <w:t>Piotrkowa Trybunalskiego</w:t>
          </w:r>
        </w:p>
      </w:sdtContent>
    </w:sdt>
    <w:sdt>
      <w:sdtPr>
        <w:id w:val="-868681135"/>
        <w:placeholder>
          <w:docPart w:val="6103E368CBBF41B2B766A9A250DC4C49"/>
        </w:placeholder>
        <w:text/>
      </w:sdtPr>
      <w:sdtEndPr/>
      <w:sdtContent>
        <w:p w:rsidR="004A1598" w:rsidRDefault="004A1598" w:rsidP="004A1598">
          <w:pPr>
            <w:pStyle w:val="Imiinazwisko"/>
          </w:pPr>
          <w:r>
            <w:t>Bogdan Munik</w:t>
          </w:r>
        </w:p>
      </w:sdtContent>
    </w:sdt>
    <w:sdt>
      <w:sdtPr>
        <w:id w:val="1520665643"/>
        <w:placeholder>
          <w:docPart w:val="BC552695211B45BB8EAD42E0B5ABD1C0"/>
        </w:placeholder>
        <w:text w:multiLine="1"/>
      </w:sdtPr>
      <w:sdtEndPr/>
      <w:sdtContent>
        <w:p w:rsidR="004A1598" w:rsidRDefault="004A1598" w:rsidP="004A1598">
          <w:pPr>
            <w:pStyle w:val="Imiinazwisko"/>
          </w:pPr>
          <w:r>
            <w:t>Sekretarz Miasta</w:t>
          </w:r>
        </w:p>
      </w:sdtContent>
    </w:sdt>
    <w:p w:rsidR="004A1598" w:rsidRDefault="004A1598" w:rsidP="004A1598">
      <w:pPr>
        <w:pStyle w:val="PodpElektr"/>
        <w:rPr>
          <w:sz w:val="24"/>
        </w:rPr>
      </w:pPr>
      <w:bookmarkStart w:id="4" w:name="_Hlk61333654"/>
    </w:p>
    <w:p w:rsidR="004A1598" w:rsidRPr="004A1598" w:rsidRDefault="004A1598" w:rsidP="004A1598">
      <w:pPr>
        <w:pStyle w:val="PodpElektr"/>
        <w:rPr>
          <w:sz w:val="24"/>
        </w:rPr>
      </w:pPr>
      <w:r w:rsidRPr="004A1598">
        <w:rPr>
          <w:sz w:val="24"/>
        </w:rPr>
        <w:t xml:space="preserve">/Dokument podpisany kwalifikowanym </w:t>
      </w:r>
    </w:p>
    <w:p w:rsidR="004A1598" w:rsidRPr="004A1598" w:rsidRDefault="004A1598" w:rsidP="004A1598">
      <w:pPr>
        <w:pStyle w:val="PodpElektr"/>
        <w:rPr>
          <w:sz w:val="24"/>
        </w:rPr>
      </w:pPr>
      <w:r w:rsidRPr="004A1598">
        <w:rPr>
          <w:sz w:val="24"/>
        </w:rPr>
        <w:t>podpisem elektronicznym/</w:t>
      </w:r>
    </w:p>
    <w:bookmarkEnd w:id="4"/>
    <w:p w:rsidR="004A1598" w:rsidRPr="004A1598" w:rsidRDefault="004A1598" w:rsidP="004A1598">
      <w:pPr>
        <w:pStyle w:val="Kocwka"/>
        <w:rPr>
          <w:sz w:val="24"/>
        </w:rPr>
      </w:pPr>
    </w:p>
    <w:sectPr w:rsidR="004A1598" w:rsidRPr="004A1598" w:rsidSect="00D27378">
      <w:footerReference w:type="default" r:id="rId7"/>
      <w:footerReference w:type="firs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98" w:rsidRDefault="004A1598" w:rsidP="004A1598">
      <w:pPr>
        <w:spacing w:after="0" w:line="240" w:lineRule="auto"/>
      </w:pPr>
      <w:r>
        <w:separator/>
      </w:r>
    </w:p>
  </w:endnote>
  <w:endnote w:type="continuationSeparator" w:id="0">
    <w:p w:rsidR="004A1598" w:rsidRDefault="004A1598" w:rsidP="004A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35774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:rsidR="00B5272C" w:rsidRPr="00B5272C" w:rsidRDefault="004A1598" w:rsidP="00B5272C">
        <w:pPr>
          <w:pStyle w:val="Stopka"/>
          <w:rPr>
            <w:rFonts w:asciiTheme="majorHAnsi" w:hAnsiTheme="majorHAnsi"/>
            <w:sz w:val="28"/>
            <w:szCs w:val="28"/>
          </w:rPr>
        </w:pPr>
        <w:r>
          <w:t>Strona</w:t>
        </w:r>
        <w:r w:rsidRPr="00B5272C">
          <w:t xml:space="preserve">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>PAGE    \* MERGEFORMAT</w:instrText>
        </w:r>
        <w:r w:rsidRPr="00280B71">
          <w:rPr>
            <w:b/>
          </w:rPr>
          <w:fldChar w:fldCharType="separate"/>
        </w:r>
        <w:r w:rsidR="00953650">
          <w:rPr>
            <w:b/>
            <w:noProof/>
          </w:rPr>
          <w:t>4</w:t>
        </w:r>
        <w:r w:rsidRPr="00280B71">
          <w:rPr>
            <w:b/>
          </w:rPr>
          <w:fldChar w:fldCharType="end"/>
        </w:r>
        <w:r>
          <w:t xml:space="preserve"> z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 xml:space="preserve"> NUMPAGES   \* MERGEFORMAT </w:instrText>
        </w:r>
        <w:r w:rsidRPr="00280B71">
          <w:rPr>
            <w:b/>
          </w:rPr>
          <w:fldChar w:fldCharType="separate"/>
        </w:r>
        <w:r w:rsidR="00953650">
          <w:rPr>
            <w:b/>
            <w:noProof/>
          </w:rPr>
          <w:t>4</w:t>
        </w:r>
        <w:r w:rsidRPr="00280B71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5A" w:rsidRDefault="00953650">
    <w:pPr>
      <w:pStyle w:val="Stopka"/>
    </w:pPr>
  </w:p>
  <w:p w:rsidR="004B3882" w:rsidRDefault="00953650">
    <w:pPr>
      <w:pStyle w:val="Stopka"/>
    </w:pPr>
  </w:p>
  <w:p w:rsidR="004D70DE" w:rsidRDefault="00953650">
    <w:pPr>
      <w:pStyle w:val="Stopka"/>
    </w:pPr>
  </w:p>
  <w:p w:rsidR="00DF1D5A" w:rsidRDefault="00953650">
    <w:pPr>
      <w:pStyle w:val="Stopka"/>
    </w:pPr>
  </w:p>
  <w:p w:rsidR="00DF1D5A" w:rsidRDefault="00953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98" w:rsidRDefault="004A1598" w:rsidP="004A1598">
      <w:pPr>
        <w:spacing w:after="0" w:line="240" w:lineRule="auto"/>
      </w:pPr>
      <w:r>
        <w:separator/>
      </w:r>
    </w:p>
  </w:footnote>
  <w:footnote w:type="continuationSeparator" w:id="0">
    <w:p w:rsidR="004A1598" w:rsidRDefault="004A1598" w:rsidP="004A1598">
      <w:pPr>
        <w:spacing w:after="0" w:line="240" w:lineRule="auto"/>
      </w:pPr>
      <w:r>
        <w:continuationSeparator/>
      </w:r>
    </w:p>
  </w:footnote>
  <w:footnote w:id="1">
    <w:p w:rsidR="004A1598" w:rsidRPr="004A1598" w:rsidRDefault="004A1598" w:rsidP="004A1598">
      <w:pPr>
        <w:pStyle w:val="Tekstprzypisudolnego"/>
      </w:pPr>
      <w:r w:rsidRPr="004A1598">
        <w:rPr>
          <w:rStyle w:val="Odwoanieprzypisudolnego"/>
        </w:rPr>
        <w:footnoteRef/>
      </w:r>
      <w:r w:rsidRPr="004A1598">
        <w:t xml:space="preserve"> W okresie objętym kontrolą obowiązywało zarządzenie Nr 357 Prezydenta Miasta Piotrkowa Trybunalskiego z dn. 07.09.2018 r. w sprawie zasad centralizacji rozliczeń podatku od towarów i usług VAT obowiązujących w Mieści</w:t>
      </w:r>
      <w:r>
        <w:t>e Piotrków Trybunalski (dalej w </w:t>
      </w:r>
      <w:r w:rsidRPr="004A1598">
        <w:t>skrócie: zarządzenie Nr 357). Zarządzenie zostało zastąpione zarządzeniem nr 169 Prezydenta Miasta Piotrkowa Trybunalskiego z dnia 01.06.2020 r. w sprawie zasad centralizacji rozliczeń podatku od towarów i usług VAT obowiązujących w Mieście Piotrków Trybunalski. Obecnie obowiązuje Zarządzenie Nr 378 Prezydenta Miasta Piotrkowa Tryb. z dnia 15.12.2020 r. w sprawie zasad centralizacji rozliczeń podatku od towarów i usług VAT obowiązujących w Mieście Piotrków Trybunalski. Załącznik nr 1 do każdego z tych zarządzeń stanowił wykaz jednostek budżetowych Miasta objętych skonsolidowanym rozliczeniem podatku VAT, natomiast w załączniku nr 2 zawarto Procedury scentralizowanego rozliczania podatku VAT w Mieście Piotrkowie Trybunalskim (dalej w</w:t>
      </w:r>
      <w:r>
        <w:t> </w:t>
      </w:r>
      <w:r w:rsidRPr="004A1598">
        <w:t>skrócie Psrp VAT).</w:t>
      </w:r>
    </w:p>
  </w:footnote>
  <w:footnote w:id="2">
    <w:p w:rsidR="004A1598" w:rsidRPr="004A1598" w:rsidRDefault="004A1598" w:rsidP="004A1598">
      <w:pPr>
        <w:pStyle w:val="Tekstprzypisudolnego"/>
      </w:pPr>
      <w:r w:rsidRPr="004A1598">
        <w:rPr>
          <w:vertAlign w:val="superscript"/>
        </w:rPr>
        <w:footnoteRef/>
      </w:r>
      <w:r w:rsidRPr="004A1598">
        <w:rPr>
          <w:vertAlign w:val="superscript"/>
        </w:rPr>
        <w:t xml:space="preserve"> </w:t>
      </w:r>
      <w:r w:rsidRPr="004A1598">
        <w:t>Ustawa z dnia 11.03.2004 r. o podatku od towarów i usług</w:t>
      </w:r>
      <w:r>
        <w:t xml:space="preserve"> (t.j. Dz.U. z 2017 poz. 1221 z </w:t>
      </w:r>
      <w:r w:rsidRPr="004A1598">
        <w:t>późn. zm., od 21.11.2018 r. t.j. Dz.U. z 2018 poz. 2174, ze</w:t>
      </w:r>
      <w:r>
        <w:t xml:space="preserve"> zm., od 23.01.2020 r. t.j. Dz. </w:t>
      </w:r>
      <w:r w:rsidRPr="004A1598">
        <w:t xml:space="preserve">U. z 2020 r. poz. 106, ze zm.). </w:t>
      </w:r>
    </w:p>
  </w:footnote>
  <w:footnote w:id="3">
    <w:p w:rsidR="004A1598" w:rsidRPr="004A1598" w:rsidRDefault="004A1598" w:rsidP="004A1598">
      <w:pPr>
        <w:pStyle w:val="Tekstprzypisudolnego"/>
      </w:pPr>
      <w:r w:rsidRPr="004A1598">
        <w:rPr>
          <w:rStyle w:val="Odwoanieprzypisudolnego"/>
        </w:rPr>
        <w:footnoteRef/>
      </w:r>
      <w:r w:rsidRPr="004A1598">
        <w:t xml:space="preserve"> W tym również rozporządzenia Ministra Finansów z dnia 17.12.2015 r. w sprawie sposobu określania zakresu wykorzystywania nabywanych towarów i usług do celów działalności gospodarczej w przypadku niektórych podatników (Dz. U. z 2015 r. poz. 2193. </w:t>
      </w:r>
    </w:p>
  </w:footnote>
  <w:footnote w:id="4">
    <w:p w:rsidR="004A1598" w:rsidRPr="004A1598" w:rsidRDefault="004A1598" w:rsidP="004A1598">
      <w:pPr>
        <w:pStyle w:val="Tekstprzypisudolnego"/>
      </w:pPr>
      <w:r w:rsidRPr="004A1598">
        <w:rPr>
          <w:rStyle w:val="Odwoanieprzypisudolnego"/>
        </w:rPr>
        <w:footnoteRef/>
      </w:r>
      <w:r w:rsidRPr="004A1598">
        <w:t xml:space="preserve"> Zgodnie z zasadami wynikającymi z zarządzenia nr 427 Prezydenta Miasta Piotrkowa Trybunalskiego z dnia 30.09.2009 r. w sprawie określenia zasad wynajmu pomieszczeń w placówkach oświatowych prowadzonych przez Miasto Piotrków Trybunalski, zmienionych zarządzeniem nr 526 z 31.12.2009 r., zarządzeniem nr 340 z 31.08.2010 r. oraz zarządzeniem nr 171 z 28.040.2011 r. (</w:t>
      </w:r>
      <w:r w:rsidRPr="004A1598">
        <w:rPr>
          <w:b/>
        </w:rPr>
        <w:t>dalej: zarządzenie w sprawie zasad wynajmu</w:t>
      </w:r>
      <w:r w:rsidRPr="004A1598">
        <w:t xml:space="preserve">), przy czym szczegółowe zasady postępowania przy wynajmie pomieszczeń oraz zasady najmu pomieszczeń określone zostały w załączniku do zarządzenia. Obecnie obowiązuje zarządzenie nr 183 Prezydenta Miasta Piotrkowa Trybunalskiego z dnia 17.06.2020 r. w sprawie wprowadzenia zasad najmu pomieszczeń w jednostkach oświatowych prowadzonych przez Miasto Piotrków Trybunalski. </w:t>
      </w:r>
    </w:p>
  </w:footnote>
  <w:footnote w:id="5">
    <w:p w:rsidR="004A1598" w:rsidRPr="004A1598" w:rsidRDefault="004A1598" w:rsidP="004A1598">
      <w:pPr>
        <w:pStyle w:val="Tekstprzypisudolnego"/>
      </w:pPr>
      <w:r w:rsidRPr="004A1598">
        <w:rPr>
          <w:rStyle w:val="Odwoanieprzypisudolnego"/>
        </w:rPr>
        <w:footnoteRef/>
      </w:r>
      <w:r w:rsidRPr="004A1598">
        <w:t xml:space="preserve"> Przywoływane w treści wystąpienia – w kontekście ustaleń kontroli – jednostki redakcyjne Psrp VAT, odnoszą się do uregulowań obowiązujących w okresie objętym kontrolą. </w:t>
      </w:r>
    </w:p>
  </w:footnote>
  <w:footnote w:id="6">
    <w:p w:rsidR="004A1598" w:rsidRPr="004A1598" w:rsidRDefault="004A1598" w:rsidP="004A1598">
      <w:pPr>
        <w:pStyle w:val="Tekstprzypisudolnego"/>
        <w:rPr>
          <w:b/>
        </w:rPr>
      </w:pPr>
      <w:r w:rsidRPr="004A1598">
        <w:rPr>
          <w:rStyle w:val="Odwoanieprzypisudolnego"/>
        </w:rPr>
        <w:footnoteRef/>
      </w:r>
      <w:r w:rsidRPr="004A1598">
        <w:t xml:space="preserve"> Rozporządzenie Ministra Finansów z dnia 17.12.2015 r. w sprawie sposobu określania zakresu wykorzystywania nabywanych towarów i usług do celów działalności gospodarczej w przypadku niektórych podatników (Dz. U. z 2015 r. poz. 2193, ze zm.), dalej: </w:t>
      </w:r>
      <w:r w:rsidRPr="004A1598">
        <w:rPr>
          <w:b/>
        </w:rPr>
        <w:t>rozporządzenie MF z 17.12.2015 r.</w:t>
      </w:r>
    </w:p>
  </w:footnote>
  <w:footnote w:id="7">
    <w:p w:rsidR="004A1598" w:rsidRPr="004A1598" w:rsidRDefault="004A1598" w:rsidP="004A1598">
      <w:pPr>
        <w:pStyle w:val="Tekstprzypisudolnego"/>
      </w:pPr>
      <w:r w:rsidRPr="004A1598">
        <w:rPr>
          <w:rStyle w:val="Odwoanieprzypisudolnego"/>
        </w:rPr>
        <w:footnoteRef/>
      </w:r>
      <w:r w:rsidRPr="004A1598">
        <w:t xml:space="preserve"> Było działanie podyktowane koniecznością sporządzenia szczegółowych sprawozdań kwartalnych.</w:t>
      </w:r>
    </w:p>
  </w:footnote>
  <w:footnote w:id="8">
    <w:p w:rsidR="004A1598" w:rsidRPr="004A1598" w:rsidRDefault="004A1598" w:rsidP="004A1598">
      <w:pPr>
        <w:pStyle w:val="Tekstprzypisudolnego"/>
      </w:pPr>
      <w:r w:rsidRPr="004A1598">
        <w:rPr>
          <w:rStyle w:val="Odwoanieprzypisudolnego"/>
        </w:rPr>
        <w:footnoteRef/>
      </w:r>
      <w:r w:rsidRPr="004A1598">
        <w:t xml:space="preserve"> </w:t>
      </w:r>
      <w:r w:rsidRPr="004A1598">
        <w:rPr>
          <w:shd w:val="clear" w:color="auto" w:fill="FFFFFF"/>
        </w:rPr>
        <w:t xml:space="preserve">Standard kontroli zarządczej nr 4 „Delegowanie uprawnień”, zawarty w Komunikacie Nr 23 Ministra Finansów z dnia 16 grudnia 2009 roku w sprawie ogłoszenia „Standardów kontroli zarządczej dla sektora finansów publicznych”, zgodnie z którym </w:t>
      </w:r>
      <w:r w:rsidRPr="004A1598">
        <w:rPr>
          <w:i/>
          <w:shd w:val="clear" w:color="auto" w:fill="FFFFFF"/>
        </w:rPr>
        <w:t>należy precyzyjnie określić zakres uprawnień delegowanych poszczególnym osobom zarządzającym lub pracownikom. Zakres delegowanych uprawnień powinien być odpowiedni do wagi podejmowanych decyzji, stopnia ich skomplikowania i ryzyka z nimi związanego. Zaleca się delegowanie uprawnień do podejmowania decyzji, zwłaszcza tych o bieżącym charakterze. Przyjęcie delegowanych uprawnień powinno być potwierdzone podpisem.</w:t>
      </w:r>
    </w:p>
  </w:footnote>
  <w:footnote w:id="9">
    <w:p w:rsidR="004A1598" w:rsidRPr="004A1598" w:rsidRDefault="004A1598" w:rsidP="004A15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Cs w:val="20"/>
        </w:rPr>
      </w:pPr>
      <w:r w:rsidRPr="004A1598">
        <w:rPr>
          <w:rStyle w:val="Odwoanieprzypisudolnego"/>
          <w:rFonts w:cs="Arial"/>
          <w:szCs w:val="20"/>
        </w:rPr>
        <w:footnoteRef/>
      </w:r>
      <w:r w:rsidRPr="004A1598">
        <w:rPr>
          <w:rFonts w:cs="Arial"/>
          <w:szCs w:val="20"/>
        </w:rPr>
        <w:t xml:space="preserve"> Standard kontroli zarządczej nr 12 „Ciągłość działalności” zgodnie z którym należy zapewnić </w:t>
      </w:r>
      <w:r w:rsidRPr="004A1598">
        <w:rPr>
          <w:rFonts w:cs="Arial"/>
          <w:i/>
          <w:szCs w:val="20"/>
        </w:rPr>
        <w:t xml:space="preserve">istnienie mechanizmów służących utrzymaniu ciągłości działalności jednostki sektora finansów publicznych </w:t>
      </w:r>
    </w:p>
  </w:footnote>
  <w:footnote w:id="10">
    <w:p w:rsidR="004A1598" w:rsidRPr="004A1598" w:rsidRDefault="004A1598" w:rsidP="004A1598">
      <w:pPr>
        <w:pStyle w:val="Tekstprzypisudolnego"/>
      </w:pPr>
      <w:r w:rsidRPr="004A1598">
        <w:rPr>
          <w:rStyle w:val="Odwoanieprzypisudolnego"/>
        </w:rPr>
        <w:footnoteRef/>
      </w:r>
      <w:r w:rsidRPr="004A1598">
        <w:t xml:space="preserve"> Ustawa z dnia 08.03.1990 r. o samorządzie gminnym (t.j. Dz.U. z 2020 r. poz. 713).</w:t>
      </w:r>
    </w:p>
  </w:footnote>
  <w:footnote w:id="11">
    <w:p w:rsidR="004A1598" w:rsidRPr="004A1598" w:rsidRDefault="004A1598" w:rsidP="004A1598">
      <w:pPr>
        <w:pStyle w:val="Tekstprzypisudolnego"/>
      </w:pPr>
      <w:r w:rsidRPr="004A1598">
        <w:rPr>
          <w:rStyle w:val="Odwoanieprzypisudolnego"/>
        </w:rPr>
        <w:footnoteRef/>
      </w:r>
      <w:r w:rsidRPr="004A1598">
        <w:t xml:space="preserve"> </w:t>
      </w:r>
      <w:r w:rsidRPr="004A1598">
        <w:rPr>
          <w:bCs/>
          <w:shd w:val="clear" w:color="auto" w:fill="FFFFFF"/>
        </w:rPr>
        <w:t>Ustawa z dnia 7 września 1991 r. o systemie oświaty</w:t>
      </w:r>
      <w:r w:rsidRPr="004A1598">
        <w:rPr>
          <w:shd w:val="clear" w:color="auto" w:fill="FFFFFF"/>
        </w:rPr>
        <w:t> (t.j. Dz.U. z 2019 r. poz.1481 ze zm., od 31.07.2020 r. Dz.U. z 2020 r. poz.1327 ze zm.) – jest obecnie aktem obowiązującym w okrojonym zakresie, gdyż od 01.09.2017 r. większą cześć tej materii prawnej zawartej wcześniej w tej ustawie normuje ustawa z 14.12.2016 roku – Prawo oświatowe oraz od 01.01.2018 roku m.in. w kwestii finansowania szkół normuje ustawa z dnia 27.10.2017 r. o finansowaniu zadań oświatowych.</w:t>
      </w:r>
    </w:p>
  </w:footnote>
  <w:footnote w:id="12">
    <w:p w:rsidR="004A1598" w:rsidRPr="004A1598" w:rsidRDefault="004A1598" w:rsidP="004A1598">
      <w:pPr>
        <w:pStyle w:val="Tekstprzypisudolnego"/>
      </w:pPr>
      <w:r w:rsidRPr="004A1598">
        <w:rPr>
          <w:rStyle w:val="Odwoanieprzypisudolnego"/>
        </w:rPr>
        <w:footnoteRef/>
      </w:r>
      <w:r w:rsidRPr="004A1598">
        <w:t xml:space="preserve"> Przez okres sprawozdawczy rozumie się okres, za który sporządzane jest sprawozdanie finansowe w trybie przewidzianym ustawą lub inne sprawozdania sporządzone na podstawie ksiąg rachunkowych (art. 3 ust. 1 pkt 8 ustawy o rachunkowości ). W praktyce zatem termin "okres sprawozdawczy" ma zastosowanie do każdego rozliczenia miesięcznego (a nie tylko za miesiące kończące kwartał), a następnie do rozliczenia rocznego.</w:t>
      </w:r>
    </w:p>
  </w:footnote>
  <w:footnote w:id="13">
    <w:p w:rsidR="004A1598" w:rsidRPr="004B0CA0" w:rsidRDefault="004A1598" w:rsidP="004A1598">
      <w:pPr>
        <w:pStyle w:val="Tekstprzypisudolnego"/>
      </w:pPr>
      <w:r w:rsidRPr="004B0CA0">
        <w:rPr>
          <w:rStyle w:val="Odwoanieprzypisudolnego"/>
          <w:sz w:val="18"/>
        </w:rPr>
        <w:footnoteRef/>
      </w:r>
      <w:r w:rsidRPr="004B0CA0">
        <w:t xml:space="preserve"> Rozporządzenie Ministra Finansów z dnia 17.12.2015 r. w sprawie sposobu określania zakresu wykorzystywania nabywanych towarów i usług do celów działalności gospodarczej w przypadku </w:t>
      </w:r>
      <w:r>
        <w:t>niektórych podatników (Dz. U. z </w:t>
      </w:r>
      <w:r w:rsidRPr="004B0CA0">
        <w:t xml:space="preserve">2015 r. poz. 2193, ze zm.) </w:t>
      </w:r>
    </w:p>
  </w:footnote>
  <w:footnote w:id="14">
    <w:p w:rsidR="004A1598" w:rsidRPr="004A1598" w:rsidRDefault="004A1598" w:rsidP="004A1598">
      <w:pPr>
        <w:tabs>
          <w:tab w:val="left" w:pos="1418"/>
        </w:tabs>
        <w:spacing w:after="0" w:line="240" w:lineRule="auto"/>
        <w:jc w:val="both"/>
        <w:rPr>
          <w:rFonts w:cs="Arial"/>
          <w:szCs w:val="18"/>
        </w:rPr>
      </w:pPr>
      <w:r w:rsidRPr="004A1598">
        <w:rPr>
          <w:rStyle w:val="Odwoanieprzypisudolnego"/>
          <w:rFonts w:cs="Arial"/>
          <w:szCs w:val="18"/>
        </w:rPr>
        <w:footnoteRef/>
      </w:r>
      <w:r w:rsidRPr="004A1598">
        <w:rPr>
          <w:rFonts w:cs="Arial"/>
          <w:szCs w:val="18"/>
        </w:rPr>
        <w:t xml:space="preserve"> </w:t>
      </w:r>
      <w:r w:rsidRPr="004A1598">
        <w:rPr>
          <w:rFonts w:eastAsia="Times New Roman" w:cs="Arial"/>
          <w:szCs w:val="18"/>
        </w:rPr>
        <w:t>Rozporządzenie Ministra Finansów z dnia 17.12.2015 r. w sprawie sposobu określania zakresu wykorzystywania nabywanych towarów i usług do celów działalności gospodarczej w przypadku niektórych podatników (Dz. U. z 2015 r. poz. 2193, ze zm.).</w:t>
      </w:r>
    </w:p>
  </w:footnote>
  <w:footnote w:id="15">
    <w:p w:rsidR="004A1598" w:rsidRPr="004A1598" w:rsidRDefault="004A1598" w:rsidP="004A1598">
      <w:pPr>
        <w:tabs>
          <w:tab w:val="left" w:pos="1418"/>
        </w:tabs>
        <w:spacing w:after="0" w:line="240" w:lineRule="auto"/>
        <w:jc w:val="both"/>
      </w:pPr>
      <w:r w:rsidRPr="004A1598">
        <w:rPr>
          <w:rStyle w:val="Odwoanieprzypisudolnego"/>
          <w:rFonts w:cs="Arial"/>
          <w:szCs w:val="18"/>
        </w:rPr>
        <w:footnoteRef/>
      </w:r>
      <w:r w:rsidRPr="004A1598">
        <w:rPr>
          <w:rFonts w:cs="Arial"/>
          <w:szCs w:val="18"/>
        </w:rPr>
        <w:t xml:space="preserve"> Zawarte umowy zostały poprzedzone sporządzeniem projektu umowy, który podlegał wstępnej ocenie Biura Prawnego UM (przedstawione projekty umów zawierały odręczne uwagi adnotacje, naniesione w celu dokonania poprawek), przy czym ostateczne wersje umowy nie były ponownie przedkładane w Urzędzie Miasta do akceptacji pod względem formalno-prawnym.</w:t>
      </w:r>
    </w:p>
  </w:footnote>
  <w:footnote w:id="16">
    <w:p w:rsidR="004A1598" w:rsidRDefault="004A1598" w:rsidP="004A1598">
      <w:pPr>
        <w:pStyle w:val="Tekstprzypisudolnego"/>
      </w:pPr>
      <w:r>
        <w:rPr>
          <w:rStyle w:val="Odwoanieprzypisudolnego"/>
          <w:sz w:val="18"/>
        </w:rPr>
        <w:footnoteRef/>
      </w:r>
      <w:r>
        <w:t xml:space="preserve"> Przyczyną nieprawidłowości było niedostosowanie wzoru umowy stosowanego w jednostce na potrzeby najmów długoterminowych (wynajem sali na potrzeby przeprowadzania zajęć o charakterze sportowym) do potrzeb najmu jednorazowego (w tym przypadku wykonania usług fotograficznych dla uczniów szkoły).</w:t>
      </w:r>
    </w:p>
  </w:footnote>
  <w:footnote w:id="17">
    <w:p w:rsidR="004A1598" w:rsidRPr="00024DED" w:rsidRDefault="004A1598" w:rsidP="004A1598">
      <w:pPr>
        <w:pStyle w:val="Tekstprzypisudolnego"/>
      </w:pPr>
      <w:r w:rsidRPr="00024DED">
        <w:rPr>
          <w:rStyle w:val="Odwoanieprzypisudolnego"/>
          <w:sz w:val="18"/>
        </w:rPr>
        <w:footnoteRef/>
      </w:r>
      <w:r w:rsidRPr="00024DED">
        <w:t xml:space="preserve"> Przez okres sprawozdawczy</w:t>
      </w:r>
      <w:r>
        <w:t xml:space="preserve"> należy </w:t>
      </w:r>
      <w:r w:rsidRPr="00024DED">
        <w:t>rozumie</w:t>
      </w:r>
      <w:r>
        <w:t>ć</w:t>
      </w:r>
      <w:r w:rsidRPr="00024DED">
        <w:t xml:space="preserve"> okres, za który sporządzane jest sprawozdanie finansowe w</w:t>
      </w:r>
      <w:r>
        <w:t xml:space="preserve"> </w:t>
      </w:r>
      <w:r w:rsidRPr="00024DED">
        <w:t>trybie przewidzianym ustawą lub inne sprawozdania sporządzone na podstawie ksiąg rachunkowych (art. 3 ust. 1 pkt 8 ustawy). W praktyce zatem termin "okres sprawozdawczy" ma zastosowanie do każdego rozliczenia miesięcznego (a nie tylko za miesiące kończące kwartał), a następnie do rozliczenia rocznego.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48C3"/>
    <w:multiLevelType w:val="hybridMultilevel"/>
    <w:tmpl w:val="6DACD8C6"/>
    <w:lvl w:ilvl="0" w:tplc="FB8CD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EEA3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DC14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2E3A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7EA3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188A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90D6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CF0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E6C6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908E2"/>
    <w:multiLevelType w:val="hybridMultilevel"/>
    <w:tmpl w:val="D9D0B820"/>
    <w:lvl w:ilvl="0" w:tplc="54EE95D6">
      <w:start w:val="1"/>
      <w:numFmt w:val="decimal"/>
      <w:lvlText w:val="%1."/>
      <w:lvlJc w:val="left"/>
      <w:pPr>
        <w:ind w:left="720" w:hanging="360"/>
      </w:pPr>
    </w:lvl>
    <w:lvl w:ilvl="1" w:tplc="DC5C44A6">
      <w:start w:val="1"/>
      <w:numFmt w:val="lowerLetter"/>
      <w:lvlText w:val="%2."/>
      <w:lvlJc w:val="left"/>
      <w:pPr>
        <w:ind w:left="1440" w:hanging="360"/>
      </w:pPr>
    </w:lvl>
    <w:lvl w:ilvl="2" w:tplc="FD82EB90">
      <w:start w:val="1"/>
      <w:numFmt w:val="lowerRoman"/>
      <w:lvlText w:val="%3."/>
      <w:lvlJc w:val="right"/>
      <w:pPr>
        <w:ind w:left="2160" w:hanging="180"/>
      </w:pPr>
    </w:lvl>
    <w:lvl w:ilvl="3" w:tplc="8D243B5E">
      <w:start w:val="1"/>
      <w:numFmt w:val="decimal"/>
      <w:lvlText w:val="%4."/>
      <w:lvlJc w:val="left"/>
      <w:pPr>
        <w:ind w:left="2880" w:hanging="360"/>
      </w:pPr>
    </w:lvl>
    <w:lvl w:ilvl="4" w:tplc="05061430">
      <w:start w:val="1"/>
      <w:numFmt w:val="lowerLetter"/>
      <w:lvlText w:val="%5."/>
      <w:lvlJc w:val="left"/>
      <w:pPr>
        <w:ind w:left="3600" w:hanging="360"/>
      </w:pPr>
    </w:lvl>
    <w:lvl w:ilvl="5" w:tplc="C1B24566">
      <w:start w:val="1"/>
      <w:numFmt w:val="lowerRoman"/>
      <w:lvlText w:val="%6."/>
      <w:lvlJc w:val="right"/>
      <w:pPr>
        <w:ind w:left="4320" w:hanging="180"/>
      </w:pPr>
    </w:lvl>
    <w:lvl w:ilvl="6" w:tplc="E3A8367A">
      <w:start w:val="1"/>
      <w:numFmt w:val="decimal"/>
      <w:lvlText w:val="%7."/>
      <w:lvlJc w:val="left"/>
      <w:pPr>
        <w:ind w:left="5040" w:hanging="360"/>
      </w:pPr>
    </w:lvl>
    <w:lvl w:ilvl="7" w:tplc="3716ACEA">
      <w:start w:val="1"/>
      <w:numFmt w:val="lowerLetter"/>
      <w:lvlText w:val="%8."/>
      <w:lvlJc w:val="left"/>
      <w:pPr>
        <w:ind w:left="5760" w:hanging="360"/>
      </w:pPr>
    </w:lvl>
    <w:lvl w:ilvl="8" w:tplc="F9F6E3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3FDA"/>
    <w:multiLevelType w:val="hybridMultilevel"/>
    <w:tmpl w:val="C2DAA04E"/>
    <w:lvl w:ilvl="0" w:tplc="52981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6C393C">
      <w:start w:val="1"/>
      <w:numFmt w:val="lowerLetter"/>
      <w:lvlText w:val="%2)"/>
      <w:lvlJc w:val="left"/>
      <w:pPr>
        <w:ind w:left="1440" w:hanging="360"/>
      </w:pPr>
    </w:lvl>
    <w:lvl w:ilvl="2" w:tplc="006EF7E2" w:tentative="1">
      <w:start w:val="1"/>
      <w:numFmt w:val="lowerRoman"/>
      <w:lvlText w:val="%3."/>
      <w:lvlJc w:val="right"/>
      <w:pPr>
        <w:ind w:left="2160" w:hanging="180"/>
      </w:pPr>
    </w:lvl>
    <w:lvl w:ilvl="3" w:tplc="19900378" w:tentative="1">
      <w:start w:val="1"/>
      <w:numFmt w:val="decimal"/>
      <w:lvlText w:val="%4."/>
      <w:lvlJc w:val="left"/>
      <w:pPr>
        <w:ind w:left="2880" w:hanging="360"/>
      </w:pPr>
    </w:lvl>
    <w:lvl w:ilvl="4" w:tplc="58C4EFB8" w:tentative="1">
      <w:start w:val="1"/>
      <w:numFmt w:val="lowerLetter"/>
      <w:lvlText w:val="%5."/>
      <w:lvlJc w:val="left"/>
      <w:pPr>
        <w:ind w:left="3600" w:hanging="360"/>
      </w:pPr>
    </w:lvl>
    <w:lvl w:ilvl="5" w:tplc="F4481F32" w:tentative="1">
      <w:start w:val="1"/>
      <w:numFmt w:val="lowerRoman"/>
      <w:lvlText w:val="%6."/>
      <w:lvlJc w:val="right"/>
      <w:pPr>
        <w:ind w:left="4320" w:hanging="180"/>
      </w:pPr>
    </w:lvl>
    <w:lvl w:ilvl="6" w:tplc="1F0C6870" w:tentative="1">
      <w:start w:val="1"/>
      <w:numFmt w:val="decimal"/>
      <w:lvlText w:val="%7."/>
      <w:lvlJc w:val="left"/>
      <w:pPr>
        <w:ind w:left="5040" w:hanging="360"/>
      </w:pPr>
    </w:lvl>
    <w:lvl w:ilvl="7" w:tplc="F194637E" w:tentative="1">
      <w:start w:val="1"/>
      <w:numFmt w:val="lowerLetter"/>
      <w:lvlText w:val="%8."/>
      <w:lvlJc w:val="left"/>
      <w:pPr>
        <w:ind w:left="5760" w:hanging="360"/>
      </w:pPr>
    </w:lvl>
    <w:lvl w:ilvl="8" w:tplc="5C326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361F1"/>
    <w:multiLevelType w:val="hybridMultilevel"/>
    <w:tmpl w:val="8760F7AC"/>
    <w:lvl w:ilvl="0" w:tplc="CECE5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68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EA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AB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E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6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E3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2C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30AA"/>
    <w:multiLevelType w:val="hybridMultilevel"/>
    <w:tmpl w:val="464E8148"/>
    <w:lvl w:ilvl="0" w:tplc="0B26152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E7124C0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86EC834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EF984AD0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5A25B80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96EEC938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37E2C14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641E2E62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EB49A34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8003D0B"/>
    <w:multiLevelType w:val="hybridMultilevel"/>
    <w:tmpl w:val="3CEA5A78"/>
    <w:lvl w:ilvl="0" w:tplc="17F6A092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73669892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94B8D1D6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75F4B6B4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9434F1EA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50485AC8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17C65856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3126DE9C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C4C41176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5E176D52"/>
    <w:multiLevelType w:val="hybridMultilevel"/>
    <w:tmpl w:val="6DEED48E"/>
    <w:lvl w:ilvl="0" w:tplc="C7EEA85E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B0808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6E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9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2F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02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A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A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EC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5EC2"/>
    <w:multiLevelType w:val="hybridMultilevel"/>
    <w:tmpl w:val="18F4AF24"/>
    <w:lvl w:ilvl="0" w:tplc="C572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80EA78" w:tentative="1">
      <w:start w:val="1"/>
      <w:numFmt w:val="lowerLetter"/>
      <w:lvlText w:val="%2."/>
      <w:lvlJc w:val="left"/>
      <w:pPr>
        <w:ind w:left="1440" w:hanging="360"/>
      </w:pPr>
    </w:lvl>
    <w:lvl w:ilvl="2" w:tplc="84EA71D6" w:tentative="1">
      <w:start w:val="1"/>
      <w:numFmt w:val="lowerRoman"/>
      <w:lvlText w:val="%3."/>
      <w:lvlJc w:val="right"/>
      <w:pPr>
        <w:ind w:left="2160" w:hanging="180"/>
      </w:pPr>
    </w:lvl>
    <w:lvl w:ilvl="3" w:tplc="C2E69DC8" w:tentative="1">
      <w:start w:val="1"/>
      <w:numFmt w:val="decimal"/>
      <w:lvlText w:val="%4."/>
      <w:lvlJc w:val="left"/>
      <w:pPr>
        <w:ind w:left="2880" w:hanging="360"/>
      </w:pPr>
    </w:lvl>
    <w:lvl w:ilvl="4" w:tplc="A9A4685A" w:tentative="1">
      <w:start w:val="1"/>
      <w:numFmt w:val="lowerLetter"/>
      <w:lvlText w:val="%5."/>
      <w:lvlJc w:val="left"/>
      <w:pPr>
        <w:ind w:left="3600" w:hanging="360"/>
      </w:pPr>
    </w:lvl>
    <w:lvl w:ilvl="5" w:tplc="BC84B09E" w:tentative="1">
      <w:start w:val="1"/>
      <w:numFmt w:val="lowerRoman"/>
      <w:lvlText w:val="%6."/>
      <w:lvlJc w:val="right"/>
      <w:pPr>
        <w:ind w:left="4320" w:hanging="180"/>
      </w:pPr>
    </w:lvl>
    <w:lvl w:ilvl="6" w:tplc="3BAEEA62" w:tentative="1">
      <w:start w:val="1"/>
      <w:numFmt w:val="decimal"/>
      <w:lvlText w:val="%7."/>
      <w:lvlJc w:val="left"/>
      <w:pPr>
        <w:ind w:left="5040" w:hanging="360"/>
      </w:pPr>
    </w:lvl>
    <w:lvl w:ilvl="7" w:tplc="44D4DE36" w:tentative="1">
      <w:start w:val="1"/>
      <w:numFmt w:val="lowerLetter"/>
      <w:lvlText w:val="%8."/>
      <w:lvlJc w:val="left"/>
      <w:pPr>
        <w:ind w:left="5760" w:hanging="360"/>
      </w:pPr>
    </w:lvl>
    <w:lvl w:ilvl="8" w:tplc="5896D2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DD"/>
    <w:rsid w:val="00096D86"/>
    <w:rsid w:val="004A1598"/>
    <w:rsid w:val="004F1856"/>
    <w:rsid w:val="00625396"/>
    <w:rsid w:val="00953650"/>
    <w:rsid w:val="00C22B1C"/>
    <w:rsid w:val="00C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63AD-E2AB-463D-A71D-536AA564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59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4A1598"/>
    <w:pPr>
      <w:spacing w:after="0" w:line="240" w:lineRule="auto"/>
      <w:jc w:val="both"/>
    </w:pPr>
    <w:rPr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598"/>
    <w:rPr>
      <w:rFonts w:ascii="Arial" w:hAnsi="Arial"/>
      <w:sz w:val="24"/>
      <w:szCs w:val="24"/>
    </w:rPr>
  </w:style>
  <w:style w:type="paragraph" w:customStyle="1" w:styleId="Stylkomentarz">
    <w:name w:val="Styl komentarz"/>
    <w:basedOn w:val="Tekstkomentarza"/>
    <w:link w:val="StylkomentarzZnak"/>
    <w:autoRedefine/>
    <w:qFormat/>
    <w:rsid w:val="00C22B1C"/>
    <w:rPr>
      <w:rFonts w:ascii="Arial Narrow" w:hAnsi="Arial Narrow"/>
    </w:rPr>
  </w:style>
  <w:style w:type="character" w:customStyle="1" w:styleId="StylkomentarzZnak">
    <w:name w:val="Styl komentarz Znak"/>
    <w:basedOn w:val="TekstkomentarzaZnak"/>
    <w:link w:val="Stylkomentarz"/>
    <w:rsid w:val="00C22B1C"/>
    <w:rPr>
      <w:rFonts w:ascii="Arial Narrow" w:hAnsi="Arial Narro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2B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2B1C"/>
    <w:rPr>
      <w:sz w:val="20"/>
      <w:szCs w:val="20"/>
    </w:rPr>
  </w:style>
  <w:style w:type="paragraph" w:customStyle="1" w:styleId="MiejscowoData">
    <w:name w:val="Miejscowość Data"/>
    <w:basedOn w:val="Normalny"/>
    <w:qFormat/>
    <w:rsid w:val="004A1598"/>
    <w:pPr>
      <w:spacing w:after="660" w:line="240" w:lineRule="auto"/>
      <w:jc w:val="right"/>
    </w:pPr>
  </w:style>
  <w:style w:type="paragraph" w:customStyle="1" w:styleId="Piecztka1">
    <w:name w:val="Pieczątka 1"/>
    <w:basedOn w:val="Normalny"/>
    <w:qFormat/>
    <w:rsid w:val="004A1598"/>
    <w:pPr>
      <w:spacing w:after="0" w:line="240" w:lineRule="auto"/>
      <w:ind w:left="709" w:right="5103"/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4A1598"/>
    <w:pPr>
      <w:spacing w:after="0" w:line="240" w:lineRule="auto"/>
      <w:ind w:left="709" w:right="5103"/>
      <w:jc w:val="center"/>
    </w:pPr>
    <w:rPr>
      <w:i/>
      <w:sz w:val="22"/>
      <w:szCs w:val="20"/>
    </w:rPr>
  </w:style>
  <w:style w:type="paragraph" w:customStyle="1" w:styleId="Adresat">
    <w:name w:val="Adresat"/>
    <w:basedOn w:val="Normalny"/>
    <w:qFormat/>
    <w:rsid w:val="004A1598"/>
    <w:pPr>
      <w:spacing w:after="720" w:line="240" w:lineRule="auto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4A1598"/>
    <w:pPr>
      <w:spacing w:after="240" w:line="240" w:lineRule="auto"/>
      <w:ind w:left="709"/>
      <w:contextualSpacing/>
      <w:jc w:val="both"/>
    </w:pPr>
  </w:style>
  <w:style w:type="paragraph" w:customStyle="1" w:styleId="Stanowisko">
    <w:name w:val="Stanowisko"/>
    <w:basedOn w:val="Normalny"/>
    <w:qFormat/>
    <w:rsid w:val="004A1598"/>
    <w:pPr>
      <w:spacing w:before="560" w:after="560" w:line="240" w:lineRule="auto"/>
      <w:ind w:left="5103"/>
      <w:jc w:val="center"/>
    </w:pPr>
  </w:style>
  <w:style w:type="paragraph" w:customStyle="1" w:styleId="Imiinazwisko">
    <w:name w:val="Imię i nazwisko"/>
    <w:basedOn w:val="Normalny"/>
    <w:qFormat/>
    <w:rsid w:val="004A1598"/>
    <w:pPr>
      <w:ind w:left="5103"/>
      <w:contextualSpacing/>
      <w:jc w:val="center"/>
    </w:pPr>
  </w:style>
  <w:style w:type="paragraph" w:customStyle="1" w:styleId="Znaksprawy">
    <w:name w:val="Znak sprawy"/>
    <w:basedOn w:val="Normalny"/>
    <w:qFormat/>
    <w:rsid w:val="004A1598"/>
    <w:pPr>
      <w:spacing w:before="240" w:after="400" w:line="240" w:lineRule="auto"/>
      <w:ind w:left="709"/>
    </w:pPr>
  </w:style>
  <w:style w:type="paragraph" w:styleId="Nagwek">
    <w:name w:val="header"/>
    <w:basedOn w:val="Normalny"/>
    <w:link w:val="NagwekZnak"/>
    <w:uiPriority w:val="99"/>
    <w:unhideWhenUsed/>
    <w:rsid w:val="004A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59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A1598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inorHAnsi" w:eastAsiaTheme="majorEastAsia" w:hAnsiTheme="minorHAnsi" w:cstheme="majorBidi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A1598"/>
    <w:rPr>
      <w:rFonts w:eastAsiaTheme="majorEastAsia" w:cstheme="majorBidi"/>
      <w:sz w:val="24"/>
      <w:szCs w:val="24"/>
    </w:rPr>
  </w:style>
  <w:style w:type="paragraph" w:customStyle="1" w:styleId="Kocwka">
    <w:name w:val="Końcówka"/>
    <w:basedOn w:val="Normalny"/>
    <w:qFormat/>
    <w:rsid w:val="004A1598"/>
    <w:rPr>
      <w:sz w:val="2"/>
    </w:rPr>
  </w:style>
  <w:style w:type="paragraph" w:customStyle="1" w:styleId="PodpElektr">
    <w:name w:val="PodpElektr"/>
    <w:basedOn w:val="Imiinazwisko"/>
    <w:qFormat/>
    <w:rsid w:val="004A1598"/>
    <w:pPr>
      <w:spacing w:after="0"/>
    </w:pPr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598"/>
    <w:rPr>
      <w:vertAlign w:val="superscript"/>
    </w:rPr>
  </w:style>
  <w:style w:type="paragraph" w:styleId="Akapitzlist">
    <w:name w:val="List Paragraph"/>
    <w:basedOn w:val="Normalny"/>
    <w:qFormat/>
    <w:rsid w:val="004A1598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media/image2.png"/><Relationship Id="rId5" Type="http://schemas.openxmlformats.org/officeDocument/2006/relationships/image" Target="../media/image1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012CB5760E4081B565AAD63075F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3F654-D39F-4024-8A3B-6AC61C47F7F6}"/>
      </w:docPartPr>
      <w:docPartBody>
        <w:p w:rsidR="008920E9" w:rsidRDefault="002C5914" w:rsidP="002C5914">
          <w:pPr>
            <w:pStyle w:val="00012CB5760E4081B565AAD63075F37B"/>
          </w:pPr>
          <w:r>
            <w:t>Adresat pisma</w:t>
          </w:r>
        </w:p>
      </w:docPartBody>
    </w:docPart>
    <w:docPart>
      <w:docPartPr>
        <w:name w:val="9F2E9CF6CCEE4A648071672DE8B66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8BC88-E85D-4C2F-96DE-73E9B96B56B9}"/>
      </w:docPartPr>
      <w:docPartBody>
        <w:p w:rsidR="002C5914" w:rsidRPr="00F140BC" w:rsidRDefault="002C5914" w:rsidP="00707639">
          <w:pPr>
            <w:pStyle w:val="Trepisma"/>
            <w:rPr>
              <w:szCs w:val="24"/>
            </w:rPr>
          </w:pPr>
          <w:r w:rsidRPr="00F140BC">
            <w:rPr>
              <w:szCs w:val="24"/>
            </w:rPr>
            <w:t>Treść pisma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Tutaj powinna znaleźć się treść pisma.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b/>
              <w:sz w:val="16"/>
              <w:szCs w:val="16"/>
              <w:u w:val="single"/>
            </w:rPr>
            <w:t>UWAGA!</w:t>
          </w:r>
          <w:r w:rsidRPr="00E511E9">
            <w:rPr>
              <w:sz w:val="16"/>
              <w:szCs w:val="16"/>
            </w:rPr>
            <w:t xml:space="preserve"> U niektórych użytkowników może pojawić się żółty pasek z informacją nad tekstem, należy wtedy kliknąć przycisk „Włącz zawartość”.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Informacje o szablonie:</w:t>
          </w:r>
        </w:p>
        <w:p w:rsidR="002C5914" w:rsidRPr="00E511E9" w:rsidRDefault="002C5914" w:rsidP="008D4438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rStyle w:val="Czerwony"/>
              <w:sz w:val="16"/>
              <w:szCs w:val="16"/>
            </w:rPr>
            <w:t>na podstawie tego szablonu można tworzyć dokumenty jedynie w sprawie z nadanym znakiem sprawy,</w:t>
          </w:r>
        </w:p>
        <w:p w:rsidR="002C5914" w:rsidRPr="00E511E9" w:rsidRDefault="002C5914" w:rsidP="008D4438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data w nagłówku dodana zostanie po podpisaniu dokumentu,</w:t>
          </w:r>
        </w:p>
        <w:p w:rsidR="002C5914" w:rsidRPr="00E511E9" w:rsidRDefault="002C5914" w:rsidP="008D4438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pola opisane jako „to pole można usunąć” można usuwać w miarę potrzeb,</w:t>
          </w:r>
        </w:p>
        <w:p w:rsidR="002C5914" w:rsidRPr="00E511E9" w:rsidRDefault="002C5914" w:rsidP="008D4438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 xml:space="preserve">podczas wklejania zawartości z innych źródeł (np. internetu, innego dokumentu itp.) nie należy używać klawiszy [Ctrl]-[V] ani bezpośrednio polecenia „Wklej”. Wklejanie należy wykonać albo przy pomocy polecenia menu </w:t>
          </w:r>
          <w:r w:rsidRPr="00E511E9">
            <w:rPr>
              <w:b/>
              <w:sz w:val="16"/>
              <w:szCs w:val="16"/>
            </w:rPr>
            <w:t>Wklej specjalnie -&gt; Tekst niesformatowany</w:t>
          </w:r>
          <w:r w:rsidRPr="00E511E9">
            <w:rPr>
              <w:sz w:val="16"/>
              <w:szCs w:val="16"/>
            </w:rPr>
            <w:t xml:space="preserve"> lub po kliknięciu prawym klawiszem myszy wybrać ikonę z wielką literą „A” </w:t>
          </w:r>
          <w:r w:rsidRPr="00E511E9">
            <w:rPr>
              <w:noProof/>
              <w:sz w:val="16"/>
              <w:szCs w:val="16"/>
              <w:lang w:eastAsia="pl-PL"/>
            </w:rPr>
            <w:drawing>
              <wp:inline distT="0" distB="0" distL="0" distR="0" wp14:anchorId="2B8F8A82" wp14:editId="3CC15499">
                <wp:extent cx="162000" cy="162000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511E9">
            <w:rPr>
              <w:sz w:val="16"/>
              <w:szCs w:val="16"/>
            </w:rPr>
            <w:t>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 xml:space="preserve">Większość zmian można usunąć z użyciem [Ctrl]-[Z] lub przyciskiem u góry okna Worda „Cofnij pisanie Ctrl-Z” </w:t>
          </w:r>
          <w:r w:rsidRPr="00E511E9">
            <w:rPr>
              <w:noProof/>
              <w:sz w:val="16"/>
              <w:szCs w:val="16"/>
              <w:lang w:eastAsia="pl-PL"/>
            </w:rPr>
            <w:drawing>
              <wp:inline distT="0" distB="0" distL="0" distR="0" wp14:anchorId="5FD75456" wp14:editId="62CB5084">
                <wp:extent cx="122400" cy="72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b/>
              <w:sz w:val="16"/>
              <w:szCs w:val="16"/>
              <w:u w:val="single"/>
            </w:rPr>
            <w:t>UWAGA!</w:t>
          </w:r>
          <w:r w:rsidRPr="00E511E9">
            <w:rPr>
              <w:sz w:val="16"/>
              <w:szCs w:val="16"/>
            </w:rPr>
            <w:t xml:space="preserve"> Ponieważ szablon zabezpieczony jest przed zmianami czasami mogą pojawiać się informacje o ograniczeniach edycji. Komunikaty te należy zignorować.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b/>
              <w:sz w:val="16"/>
              <w:szCs w:val="16"/>
            </w:rPr>
            <w:t>UWAGA!</w:t>
          </w:r>
          <w:r w:rsidRPr="00E511E9">
            <w:rPr>
              <w:sz w:val="16"/>
              <w:szCs w:val="16"/>
            </w:rPr>
            <w:t xml:space="preserve"> </w:t>
          </w:r>
          <w:r w:rsidRPr="00E511E9">
            <w:rPr>
              <w:rStyle w:val="Czerwony"/>
              <w:sz w:val="16"/>
              <w:szCs w:val="16"/>
            </w:rPr>
            <w:t>Szablon przeznaczony do podpisania bezpośrednio przez Prezydenta Miasta.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Jeśli pismo ma być podpisane z upoważnienia Prezydenta to:</w:t>
          </w:r>
        </w:p>
        <w:p w:rsidR="002C5914" w:rsidRPr="00E511E9" w:rsidRDefault="002C5914" w:rsidP="008D4438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w miejsce napisu „Prezydent Miasta Piotrkowa Trybunalskiego” należy wpisać np. „Z upoważnienia Prezydenta Miasta Piotrkowa Trybunalskiego”,</w:t>
          </w:r>
        </w:p>
        <w:p w:rsidR="002C5914" w:rsidRPr="00E511E9" w:rsidRDefault="002C5914" w:rsidP="008D4438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w miejscu imienia i nazwiska Prezydenta należy wpisać imię i nazwisko osoby upoważnionej,</w:t>
          </w:r>
        </w:p>
        <w:p w:rsidR="002C5914" w:rsidRPr="00E511E9" w:rsidRDefault="002C5914" w:rsidP="008D4438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jeśli zachodzi konieczność podania stanowiska osoby upoważnionej to należy je wpisać w pustym polu widocznym poniżej imienia i nazwiska,</w:t>
          </w:r>
        </w:p>
        <w:p w:rsidR="002C5914" w:rsidRDefault="002C5914" w:rsidP="008D4438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tekst „</w:t>
          </w:r>
          <w:r w:rsidRPr="00E511E9">
            <w:rPr>
              <w:b/>
              <w:bCs/>
              <w:sz w:val="16"/>
              <w:szCs w:val="16"/>
            </w:rPr>
            <w:t>Dokument podpisany kwalifikowanym podpisem elektronicznym</w:t>
          </w:r>
          <w:r w:rsidRPr="00E511E9">
            <w:rPr>
              <w:sz w:val="16"/>
              <w:szCs w:val="16"/>
            </w:rPr>
            <w:t>” można usunąć jeśli jest niepotrzebny.</w:t>
          </w:r>
        </w:p>
        <w:p w:rsidR="008920E9" w:rsidRDefault="008920E9"/>
      </w:docPartBody>
    </w:docPart>
    <w:docPart>
      <w:docPartPr>
        <w:name w:val="AE8A4A7482DD482B967A22824399A6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59B51-54EA-4825-805D-6F6D10886D48}"/>
      </w:docPartPr>
      <w:docPartBody>
        <w:p w:rsidR="002C5914" w:rsidRPr="00F140BC" w:rsidRDefault="002C5914" w:rsidP="00707639">
          <w:pPr>
            <w:pStyle w:val="Trepisma"/>
            <w:rPr>
              <w:szCs w:val="24"/>
            </w:rPr>
          </w:pPr>
          <w:r w:rsidRPr="00F140BC">
            <w:rPr>
              <w:szCs w:val="24"/>
            </w:rPr>
            <w:t>Treść pisma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Tutaj powinna znaleźć się treść pisma.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b/>
              <w:sz w:val="16"/>
              <w:szCs w:val="16"/>
              <w:u w:val="single"/>
            </w:rPr>
            <w:t>UWAGA!</w:t>
          </w:r>
          <w:r w:rsidRPr="00E511E9">
            <w:rPr>
              <w:sz w:val="16"/>
              <w:szCs w:val="16"/>
            </w:rPr>
            <w:t xml:space="preserve"> U niektórych użytkowników może pojawić się żółty pasek z informacją nad tekstem, należy wtedy kliknąć przycisk „Włącz zawartość”.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Informacje o szablonie:</w:t>
          </w:r>
        </w:p>
        <w:p w:rsidR="002C5914" w:rsidRPr="00E511E9" w:rsidRDefault="002C5914" w:rsidP="005911C7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rStyle w:val="Czerwony"/>
              <w:sz w:val="16"/>
              <w:szCs w:val="16"/>
            </w:rPr>
            <w:t>na podstawie tego szablonu można tworzyć dokumenty jedynie w sprawie z nadanym znakiem sprawy,</w:t>
          </w:r>
        </w:p>
        <w:p w:rsidR="002C5914" w:rsidRPr="00E511E9" w:rsidRDefault="002C5914" w:rsidP="005911C7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data w nagłówku dodana zostanie po podpisaniu dokumentu,</w:t>
          </w:r>
        </w:p>
        <w:p w:rsidR="002C5914" w:rsidRPr="00E511E9" w:rsidRDefault="002C5914" w:rsidP="005911C7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pola opisane jako „to pole można usunąć” można usuwać w miarę potrzeb,</w:t>
          </w:r>
        </w:p>
        <w:p w:rsidR="002C5914" w:rsidRPr="00E511E9" w:rsidRDefault="002C5914" w:rsidP="005911C7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 xml:space="preserve">podczas wklejania zawartości z innych źródeł (np. internetu, innego dokumentu itp.) nie należy używać klawiszy [Ctrl]-[V] ani bezpośrednio polecenia „Wklej”. Wklejanie należy wykonać albo przy pomocy polecenia menu </w:t>
          </w:r>
          <w:r w:rsidRPr="00E511E9">
            <w:rPr>
              <w:b/>
              <w:sz w:val="16"/>
              <w:szCs w:val="16"/>
            </w:rPr>
            <w:t>Wklej specjalnie -&gt; Tekst niesformatowany</w:t>
          </w:r>
          <w:r w:rsidRPr="00E511E9">
            <w:rPr>
              <w:sz w:val="16"/>
              <w:szCs w:val="16"/>
            </w:rPr>
            <w:t xml:space="preserve"> lub po kliknięciu prawym klawiszem myszy wybrać ikonę z wielką literą „A” </w:t>
          </w:r>
          <w:r w:rsidRPr="00E511E9">
            <w:rPr>
              <w:noProof/>
              <w:sz w:val="16"/>
              <w:szCs w:val="16"/>
              <w:lang w:eastAsia="pl-PL"/>
            </w:rPr>
            <w:drawing>
              <wp:inline distT="0" distB="0" distL="0" distR="0" wp14:anchorId="06F59A38" wp14:editId="172A0C85">
                <wp:extent cx="162000" cy="162000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511E9">
            <w:rPr>
              <w:sz w:val="16"/>
              <w:szCs w:val="16"/>
            </w:rPr>
            <w:t>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 xml:space="preserve">Większość zmian można usunąć z użyciem [Ctrl]-[Z] lub przyciskiem u góry okna Worda „Cofnij pisanie Ctrl-Z” </w:t>
          </w:r>
          <w:r w:rsidRPr="00E511E9">
            <w:rPr>
              <w:noProof/>
              <w:sz w:val="16"/>
              <w:szCs w:val="16"/>
              <w:lang w:eastAsia="pl-PL"/>
            </w:rPr>
            <w:drawing>
              <wp:inline distT="0" distB="0" distL="0" distR="0" wp14:anchorId="432F0A4E" wp14:editId="7EAB30D1">
                <wp:extent cx="122400" cy="7200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b/>
              <w:sz w:val="16"/>
              <w:szCs w:val="16"/>
              <w:u w:val="single"/>
            </w:rPr>
            <w:t>UWAGA!</w:t>
          </w:r>
          <w:r w:rsidRPr="00E511E9">
            <w:rPr>
              <w:sz w:val="16"/>
              <w:szCs w:val="16"/>
            </w:rPr>
            <w:t xml:space="preserve"> Ponieważ szablon zabezpieczony jest przed zmianami czasami mogą pojawiać się informacje o ograniczeniach edycji. Komunikaty te należy zignorować.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b/>
              <w:sz w:val="16"/>
              <w:szCs w:val="16"/>
            </w:rPr>
            <w:t>UWAGA!</w:t>
          </w:r>
          <w:r w:rsidRPr="00E511E9">
            <w:rPr>
              <w:sz w:val="16"/>
              <w:szCs w:val="16"/>
            </w:rPr>
            <w:t xml:space="preserve"> </w:t>
          </w:r>
          <w:r w:rsidRPr="00E511E9">
            <w:rPr>
              <w:rStyle w:val="Czerwony"/>
              <w:sz w:val="16"/>
              <w:szCs w:val="16"/>
            </w:rPr>
            <w:t>Szablon przeznaczony do podpisania bezpośrednio przez Prezydenta Miasta.</w:t>
          </w:r>
        </w:p>
        <w:p w:rsidR="002C5914" w:rsidRPr="00E511E9" w:rsidRDefault="002C5914" w:rsidP="00707639">
          <w:pPr>
            <w:pStyle w:val="Trepisma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Jeśli pismo ma być podpisane z upoważnienia Prezydenta to:</w:t>
          </w:r>
        </w:p>
        <w:p w:rsidR="002C5914" w:rsidRPr="00E511E9" w:rsidRDefault="002C5914" w:rsidP="005911C7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w miejsce napisu „Prezydent Miasta Piotrkowa Trybunalskiego” należy wpisać np. „Z upoważnienia Prezydenta Miasta Piotrkowa Trybunalskiego”,</w:t>
          </w:r>
        </w:p>
        <w:p w:rsidR="002C5914" w:rsidRPr="00E511E9" w:rsidRDefault="002C5914" w:rsidP="005911C7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w miejscu imienia i nazwiska Prezydenta należy wpisać imię i nazwisko osoby upoważnionej,</w:t>
          </w:r>
        </w:p>
        <w:p w:rsidR="002C5914" w:rsidRPr="00E511E9" w:rsidRDefault="002C5914" w:rsidP="005911C7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jeśli zachodzi konieczność podania stanowiska osoby upoważnionej to należy je wpisać w pustym polu widocznym poniżej imienia i nazwiska,</w:t>
          </w:r>
        </w:p>
        <w:p w:rsidR="002C5914" w:rsidRDefault="002C5914" w:rsidP="005911C7">
          <w:pPr>
            <w:pStyle w:val="Trepisma"/>
            <w:numPr>
              <w:ilvl w:val="0"/>
              <w:numId w:val="1"/>
            </w:numPr>
            <w:ind w:left="1276"/>
            <w:rPr>
              <w:sz w:val="16"/>
              <w:szCs w:val="16"/>
            </w:rPr>
          </w:pPr>
          <w:r w:rsidRPr="00E511E9">
            <w:rPr>
              <w:sz w:val="16"/>
              <w:szCs w:val="16"/>
            </w:rPr>
            <w:t>tekst „</w:t>
          </w:r>
          <w:r w:rsidRPr="00E511E9">
            <w:rPr>
              <w:b/>
              <w:bCs/>
              <w:sz w:val="16"/>
              <w:szCs w:val="16"/>
            </w:rPr>
            <w:t>Dokument podpisany kwalifikowanym podpisem elektronicznym</w:t>
          </w:r>
          <w:r w:rsidRPr="00E511E9">
            <w:rPr>
              <w:sz w:val="16"/>
              <w:szCs w:val="16"/>
            </w:rPr>
            <w:t>” można usunąć jeśli jest niepotrzebny.</w:t>
          </w:r>
        </w:p>
        <w:p w:rsidR="008920E9" w:rsidRDefault="008920E9"/>
      </w:docPartBody>
    </w:docPart>
    <w:docPart>
      <w:docPartPr>
        <w:name w:val="EF61FD8E4EBF441485D9D4D168483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D0DE6B-2962-480A-9BA7-83FFC3A9EE84}"/>
      </w:docPartPr>
      <w:docPartBody>
        <w:p w:rsidR="008920E9" w:rsidRDefault="002C5914" w:rsidP="002C5914">
          <w:pPr>
            <w:pStyle w:val="EF61FD8E4EBF441485D9D4D168483523"/>
          </w:pPr>
          <w:r>
            <w:t>Prezydent Miasta</w:t>
          </w:r>
          <w:r>
            <w:br/>
            <w:t>Piotrkowa Trybunalskiego</w:t>
          </w:r>
        </w:p>
      </w:docPartBody>
    </w:docPart>
    <w:docPart>
      <w:docPartPr>
        <w:name w:val="6103E368CBBF41B2B766A9A250DC4C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9DC1B-B368-4026-98C7-AAE91DDA3341}"/>
      </w:docPartPr>
      <w:docPartBody>
        <w:p w:rsidR="008920E9" w:rsidRDefault="002C5914" w:rsidP="002C5914">
          <w:pPr>
            <w:pStyle w:val="6103E368CBBF41B2B766A9A250DC4C49"/>
          </w:pPr>
          <w:r>
            <w:t>Krzysztof Chojniak</w:t>
          </w:r>
        </w:p>
      </w:docPartBody>
    </w:docPart>
    <w:docPart>
      <w:docPartPr>
        <w:name w:val="BC552695211B45BB8EAD42E0B5ABD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832E6-35FB-4886-87D0-DC705512E7B6}"/>
      </w:docPartPr>
      <w:docPartBody>
        <w:p w:rsidR="008920E9" w:rsidRDefault="002C5914" w:rsidP="002C5914">
          <w:pPr>
            <w:pStyle w:val="BC552695211B45BB8EAD42E0B5ABD1C0"/>
          </w:pPr>
          <w: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19E1"/>
    <w:multiLevelType w:val="hybridMultilevel"/>
    <w:tmpl w:val="E7E00388"/>
    <w:lvl w:ilvl="0" w:tplc="81BA26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6EBC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ABC7D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13EA75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02A9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FE56F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04612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1693D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FC798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14"/>
    <w:rsid w:val="002C5914"/>
    <w:rsid w:val="008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012CB5760E4081B565AAD63075F37B">
    <w:name w:val="00012CB5760E4081B565AAD63075F37B"/>
    <w:rsid w:val="002C5914"/>
  </w:style>
  <w:style w:type="paragraph" w:customStyle="1" w:styleId="Trepisma">
    <w:name w:val="Treść pisma"/>
    <w:basedOn w:val="Normalny"/>
    <w:qFormat/>
    <w:rsid w:val="002C5914"/>
    <w:pPr>
      <w:spacing w:after="240" w:line="240" w:lineRule="auto"/>
      <w:ind w:left="709"/>
      <w:contextualSpacing/>
      <w:jc w:val="both"/>
    </w:pPr>
    <w:rPr>
      <w:rFonts w:ascii="Arial" w:eastAsiaTheme="minorHAnsi" w:hAnsi="Arial"/>
      <w:sz w:val="24"/>
      <w:lang w:eastAsia="en-US"/>
    </w:rPr>
  </w:style>
  <w:style w:type="character" w:customStyle="1" w:styleId="Czerwony">
    <w:name w:val="Czerwony"/>
    <w:basedOn w:val="Domylnaczcionkaakapitu"/>
    <w:uiPriority w:val="1"/>
    <w:qFormat/>
    <w:rsid w:val="002C5914"/>
    <w:rPr>
      <w:color w:val="CC00CC"/>
      <w:sz w:val="18"/>
      <w:szCs w:val="18"/>
    </w:rPr>
  </w:style>
  <w:style w:type="paragraph" w:customStyle="1" w:styleId="EF61FD8E4EBF441485D9D4D168483523">
    <w:name w:val="EF61FD8E4EBF441485D9D4D168483523"/>
    <w:rsid w:val="002C5914"/>
  </w:style>
  <w:style w:type="paragraph" w:customStyle="1" w:styleId="6103E368CBBF41B2B766A9A250DC4C49">
    <w:name w:val="6103E368CBBF41B2B766A9A250DC4C49"/>
    <w:rsid w:val="002C5914"/>
  </w:style>
  <w:style w:type="paragraph" w:customStyle="1" w:styleId="BC552695211B45BB8EAD42E0B5ABD1C0">
    <w:name w:val="BC552695211B45BB8EAD42E0B5ABD1C0"/>
    <w:rsid w:val="002C5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6030</Words>
  <Characters>36182</Characters>
  <Application>Microsoft Office Word</Application>
  <DocSecurity>4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Kaflak Dariusz</dc:creator>
  <cp:keywords/>
  <dc:description/>
  <cp:lastModifiedBy>Budkowska Paulina</cp:lastModifiedBy>
  <cp:revision>2</cp:revision>
  <dcterms:created xsi:type="dcterms:W3CDTF">2021-07-23T05:44:00Z</dcterms:created>
  <dcterms:modified xsi:type="dcterms:W3CDTF">2021-07-23T05:44:00Z</dcterms:modified>
</cp:coreProperties>
</file>