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B081" w14:textId="0268F3E8" w:rsidR="00834ADE" w:rsidRPr="002F09CB" w:rsidRDefault="00834ADE" w:rsidP="002F09CB">
      <w:pPr>
        <w:spacing w:line="360" w:lineRule="auto"/>
        <w:jc w:val="center"/>
        <w:rPr>
          <w:rFonts w:ascii="Arial" w:hAnsi="Arial" w:cs="Arial"/>
          <w:b/>
          <w:bCs/>
          <w:color w:val="000000" w:themeColor="text1"/>
        </w:rPr>
      </w:pPr>
      <w:r w:rsidRPr="002F09CB">
        <w:rPr>
          <w:rFonts w:ascii="Arial" w:hAnsi="Arial" w:cs="Arial"/>
          <w:b/>
          <w:bCs/>
        </w:rPr>
        <w:t>UCHWAŁA  Nr XXXVIII/507/21</w:t>
      </w:r>
    </w:p>
    <w:p w14:paraId="335520E0" w14:textId="77777777" w:rsidR="00834ADE" w:rsidRPr="002F09CB" w:rsidRDefault="00834ADE" w:rsidP="002F09CB">
      <w:pPr>
        <w:spacing w:line="360" w:lineRule="auto"/>
        <w:jc w:val="center"/>
        <w:rPr>
          <w:rFonts w:ascii="Arial" w:hAnsi="Arial" w:cs="Arial"/>
          <w:b/>
          <w:bCs/>
          <w:color w:val="000000" w:themeColor="text1"/>
        </w:rPr>
      </w:pPr>
      <w:r w:rsidRPr="002F09CB">
        <w:rPr>
          <w:rFonts w:ascii="Arial" w:hAnsi="Arial" w:cs="Arial"/>
          <w:b/>
          <w:bCs/>
        </w:rPr>
        <w:t>Rady Miasta Piotrkowa Trybunalskiego</w:t>
      </w:r>
    </w:p>
    <w:p w14:paraId="63DB0D4F" w14:textId="0F61CE28" w:rsidR="00834ADE" w:rsidRDefault="00834ADE" w:rsidP="002F09CB">
      <w:pPr>
        <w:spacing w:line="360" w:lineRule="auto"/>
        <w:jc w:val="center"/>
        <w:rPr>
          <w:rFonts w:ascii="Arial" w:hAnsi="Arial" w:cs="Arial"/>
          <w:b/>
          <w:bCs/>
        </w:rPr>
      </w:pPr>
      <w:r w:rsidRPr="002F09CB">
        <w:rPr>
          <w:rFonts w:ascii="Arial" w:hAnsi="Arial" w:cs="Arial"/>
          <w:b/>
          <w:bCs/>
        </w:rPr>
        <w:t>z dnia 28 czerwca 2021 roku</w:t>
      </w:r>
    </w:p>
    <w:p w14:paraId="362E9F93" w14:textId="77777777" w:rsidR="002F09CB" w:rsidRPr="002F09CB" w:rsidRDefault="002F09CB" w:rsidP="002F09CB">
      <w:pPr>
        <w:spacing w:line="360" w:lineRule="auto"/>
        <w:jc w:val="center"/>
        <w:rPr>
          <w:rFonts w:ascii="Arial" w:hAnsi="Arial" w:cs="Arial"/>
          <w:b/>
          <w:bCs/>
          <w:color w:val="000000" w:themeColor="text1"/>
        </w:rPr>
      </w:pPr>
    </w:p>
    <w:p w14:paraId="659A8B07" w14:textId="35ACA4BB" w:rsidR="00834ADE" w:rsidRDefault="00834ADE" w:rsidP="002F09CB">
      <w:pPr>
        <w:spacing w:line="360" w:lineRule="auto"/>
        <w:jc w:val="center"/>
        <w:rPr>
          <w:rFonts w:ascii="Arial" w:hAnsi="Arial" w:cs="Arial"/>
          <w:b/>
          <w:bCs/>
        </w:rPr>
      </w:pPr>
      <w:r w:rsidRPr="002F09CB">
        <w:rPr>
          <w:rFonts w:ascii="Arial" w:hAnsi="Arial" w:cs="Arial"/>
          <w:b/>
          <w:bCs/>
        </w:rPr>
        <w:t>w sprawie skargi na działalność Prezydenta Miasta Piotrkowa Trybunalskiego</w:t>
      </w:r>
    </w:p>
    <w:p w14:paraId="3B385F51" w14:textId="77777777" w:rsidR="002F09CB" w:rsidRPr="002F09CB" w:rsidRDefault="002F09CB" w:rsidP="002F09CB">
      <w:pPr>
        <w:spacing w:line="360" w:lineRule="auto"/>
        <w:jc w:val="center"/>
        <w:rPr>
          <w:rFonts w:ascii="Arial" w:hAnsi="Arial" w:cs="Arial"/>
          <w:b/>
          <w:bCs/>
          <w:color w:val="000000" w:themeColor="text1"/>
        </w:rPr>
      </w:pPr>
    </w:p>
    <w:p w14:paraId="74D48AFE" w14:textId="77777777" w:rsidR="00834ADE" w:rsidRPr="00834ADE" w:rsidRDefault="00834ADE" w:rsidP="00834ADE">
      <w:pPr>
        <w:spacing w:line="360" w:lineRule="auto"/>
        <w:rPr>
          <w:rFonts w:ascii="Arial" w:hAnsi="Arial" w:cs="Arial"/>
        </w:rPr>
      </w:pPr>
      <w:r w:rsidRPr="00834ADE">
        <w:rPr>
          <w:rFonts w:ascii="Arial" w:hAnsi="Arial" w:cs="Arial"/>
        </w:rPr>
        <w:t>Na podstawie art. 18 ust. 2 pkt 15 ustawy z dnia 8 marca 1990 roku o samorządzie gminnym (</w:t>
      </w:r>
      <w:r w:rsidRPr="00834ADE">
        <w:rPr>
          <w:rFonts w:ascii="Arial" w:hAnsi="Arial" w:cs="Arial"/>
          <w:color w:val="333333"/>
          <w:shd w:val="clear" w:color="auto" w:fill="FFFFFF"/>
        </w:rPr>
        <w:t>Dz. U. z 2020 r. poz. 713, poz. 1378 oraz z 2021 r. poz. 1038</w:t>
      </w:r>
      <w:r w:rsidRPr="00834ADE">
        <w:rPr>
          <w:rFonts w:ascii="Arial" w:hAnsi="Arial" w:cs="Arial"/>
        </w:rPr>
        <w:t>), oraz art. 229 pkt 3 i art. 239 § 1 ustawy z dnia 14 czerwca 1960 roku Kodeks postępowania administracyjnego  (</w:t>
      </w:r>
      <w:r w:rsidRPr="00834ADE">
        <w:rPr>
          <w:rFonts w:ascii="Arial" w:hAnsi="Arial" w:cs="Arial"/>
          <w:color w:val="333333"/>
          <w:shd w:val="clear" w:color="auto" w:fill="FFFFFF"/>
        </w:rPr>
        <w:t>Dz. U. z 2021 r. poz. 735</w:t>
      </w:r>
      <w:r w:rsidRPr="00834ADE">
        <w:rPr>
          <w:rFonts w:ascii="Arial" w:hAnsi="Arial" w:cs="Arial"/>
        </w:rPr>
        <w:t xml:space="preserve">) uchwala się, co następuje: </w:t>
      </w:r>
    </w:p>
    <w:p w14:paraId="18E5315B" w14:textId="77777777" w:rsidR="00834ADE" w:rsidRPr="003C4E13" w:rsidRDefault="00834ADE" w:rsidP="00834ADE">
      <w:pPr>
        <w:spacing w:line="360" w:lineRule="auto"/>
        <w:rPr>
          <w:rFonts w:ascii="Arial" w:hAnsi="Arial" w:cs="Arial"/>
          <w:bCs/>
        </w:rPr>
      </w:pPr>
      <w:r w:rsidRPr="003C4E13">
        <w:rPr>
          <w:rFonts w:ascii="Arial" w:hAnsi="Arial" w:cs="Arial"/>
        </w:rPr>
        <w:t xml:space="preserve">§  1. </w:t>
      </w:r>
      <w:r w:rsidRPr="003C4E13">
        <w:rPr>
          <w:rFonts w:ascii="Arial" w:hAnsi="Arial" w:cs="Arial"/>
          <w:bCs/>
        </w:rPr>
        <w:t xml:space="preserve">Rada Miasta Piotrkowa Trybunalskiego po zapoznaniu się ze skargą z dnia </w:t>
      </w:r>
      <w:r w:rsidRPr="003C4E13">
        <w:rPr>
          <w:rFonts w:ascii="Arial" w:hAnsi="Arial" w:cs="Arial"/>
          <w:bCs/>
        </w:rPr>
        <w:br/>
        <w:t xml:space="preserve">11 maja 2021 r. Pana (dokonano </w:t>
      </w:r>
      <w:proofErr w:type="spellStart"/>
      <w:r w:rsidRPr="003C4E13">
        <w:rPr>
          <w:rFonts w:ascii="Arial" w:hAnsi="Arial" w:cs="Arial"/>
          <w:bCs/>
        </w:rPr>
        <w:t>anonimizacji</w:t>
      </w:r>
      <w:proofErr w:type="spellEnd"/>
      <w:r w:rsidRPr="003C4E13">
        <w:rPr>
          <w:rFonts w:ascii="Arial" w:hAnsi="Arial" w:cs="Arial"/>
          <w:bCs/>
        </w:rPr>
        <w:t xml:space="preserve"> danych osobowych) złożoną </w:t>
      </w:r>
      <w:r>
        <w:rPr>
          <w:rFonts w:ascii="Arial" w:hAnsi="Arial" w:cs="Arial"/>
          <w:bCs/>
        </w:rPr>
        <w:br/>
      </w:r>
      <w:r w:rsidRPr="003C4E13">
        <w:rPr>
          <w:rFonts w:ascii="Arial" w:hAnsi="Arial" w:cs="Arial"/>
          <w:bCs/>
        </w:rPr>
        <w:t xml:space="preserve">w związku z nieudzieleniem odpowiedzi w sposób przewidziany Kodeksem postępowania administracyjnego na wniosek z dnia 28 maja 2020 r. oraz ponowny wniosek z dnia 11 sierpnia 2020 r. dotyczący zmiany organizacji ruchu drogowego </w:t>
      </w:r>
      <w:r>
        <w:rPr>
          <w:rFonts w:ascii="Arial" w:hAnsi="Arial" w:cs="Arial"/>
          <w:bCs/>
        </w:rPr>
        <w:br/>
      </w:r>
      <w:r w:rsidRPr="003C4E13">
        <w:rPr>
          <w:rFonts w:ascii="Arial" w:hAnsi="Arial" w:cs="Arial"/>
          <w:bCs/>
        </w:rPr>
        <w:t xml:space="preserve">w ciągu ulic Rakowskiej,  Miast Partnerskich oraz Sulejowskiej </w:t>
      </w:r>
      <w:r w:rsidRPr="003C4E13">
        <w:rPr>
          <w:rFonts w:ascii="Arial" w:hAnsi="Arial" w:cs="Arial"/>
        </w:rPr>
        <w:t xml:space="preserve">w Piotrkowie Trybunalskim </w:t>
      </w:r>
      <w:r w:rsidRPr="003C4E13">
        <w:rPr>
          <w:rFonts w:ascii="Arial" w:hAnsi="Arial" w:cs="Arial"/>
          <w:bCs/>
        </w:rPr>
        <w:t xml:space="preserve">a także  wnioskiem złożonym przez Pana (dokonano </w:t>
      </w:r>
      <w:proofErr w:type="spellStart"/>
      <w:r w:rsidRPr="003C4E13">
        <w:rPr>
          <w:rFonts w:ascii="Arial" w:hAnsi="Arial" w:cs="Arial"/>
          <w:bCs/>
        </w:rPr>
        <w:t>anonimizacji</w:t>
      </w:r>
      <w:proofErr w:type="spellEnd"/>
      <w:r w:rsidRPr="003C4E13">
        <w:rPr>
          <w:rFonts w:ascii="Arial" w:hAnsi="Arial" w:cs="Arial"/>
          <w:bCs/>
        </w:rPr>
        <w:t xml:space="preserve"> danych osobowych) do Łódzkiego Urzędu Wojewódzkiego o podjęcie działań nadzorczych w związku z obowiązującą organizacją ruchu w ciągu ul. Rakowskiej, Miast Partnerskich i Sulejowskiej w Piotrkowie Trybunalskim (w zakresie wyznaczonych granic obszaru zabudowanego znakami D-42 i D-43) przekazanym przez Łódzki Urząd Wojewódzki do Rady Miasta celem rozpoznania jako skargi na </w:t>
      </w:r>
      <w:r w:rsidRPr="003C4E13">
        <w:rPr>
          <w:rFonts w:ascii="Arial" w:hAnsi="Arial" w:cs="Arial"/>
        </w:rPr>
        <w:t>działalność Prezydenta Miasta Piotrkowa Trybunalskiego</w:t>
      </w:r>
      <w:r w:rsidRPr="003C4E13">
        <w:rPr>
          <w:rFonts w:ascii="Arial" w:hAnsi="Arial" w:cs="Arial"/>
          <w:bCs/>
        </w:rPr>
        <w:t xml:space="preserve"> - podtrzymuje stanowisko </w:t>
      </w:r>
      <w:r>
        <w:rPr>
          <w:rFonts w:ascii="Arial" w:hAnsi="Arial" w:cs="Arial"/>
          <w:bCs/>
        </w:rPr>
        <w:br/>
      </w:r>
      <w:r w:rsidRPr="003C4E13">
        <w:rPr>
          <w:rFonts w:ascii="Arial" w:hAnsi="Arial" w:cs="Arial"/>
          <w:bCs/>
        </w:rPr>
        <w:t xml:space="preserve">o bezzasadności skargi wyrażone w </w:t>
      </w:r>
      <w:r w:rsidRPr="003C4E13">
        <w:rPr>
          <w:rFonts w:ascii="Arial" w:hAnsi="Arial" w:cs="Arial"/>
        </w:rPr>
        <w:t>Uchwale Nr XVII/284/20 z dnia 26 lutego 2020 r. i podtrzymane w Uchwale Nr XVIII/294/20 z dnia 18 marca 2020 r. oraz w Uchwale Nr XXVII/387/20 z dnia 30 września 2020 r. w sprawie skargi na działalność Prezydenta Miasta Piotrkowa Trybunalskiego</w:t>
      </w:r>
      <w:r w:rsidRPr="003C4E13">
        <w:rPr>
          <w:rFonts w:ascii="Arial" w:hAnsi="Arial" w:cs="Arial"/>
          <w:bCs/>
        </w:rPr>
        <w:t xml:space="preserve"> i jednocześnie podtrzymuje argumenty przytoczone w załącznikach do w/w uchwał.</w:t>
      </w:r>
    </w:p>
    <w:p w14:paraId="2BA325EF" w14:textId="77777777" w:rsidR="00834ADE" w:rsidRPr="003C4E13" w:rsidRDefault="00834ADE" w:rsidP="00834ADE">
      <w:pPr>
        <w:spacing w:line="360" w:lineRule="auto"/>
        <w:rPr>
          <w:rFonts w:ascii="Arial" w:hAnsi="Arial" w:cs="Arial"/>
          <w:b/>
          <w:bCs/>
          <w:color w:val="000000" w:themeColor="text1"/>
        </w:rPr>
      </w:pPr>
      <w:r w:rsidRPr="003C4E13">
        <w:rPr>
          <w:rFonts w:ascii="Arial" w:hAnsi="Arial" w:cs="Arial"/>
        </w:rPr>
        <w:t>§ 2. Uzasadnienie stanowiska Rady Miasta zawarte jest w załączniku do niniejszej uchwały.</w:t>
      </w:r>
    </w:p>
    <w:p w14:paraId="2CF30C4E" w14:textId="77777777" w:rsidR="00834ADE" w:rsidRPr="003C4E13" w:rsidRDefault="00834ADE" w:rsidP="00834ADE">
      <w:pPr>
        <w:spacing w:line="360" w:lineRule="auto"/>
        <w:rPr>
          <w:rFonts w:ascii="Arial" w:hAnsi="Arial" w:cs="Arial"/>
        </w:rPr>
      </w:pPr>
      <w:r w:rsidRPr="003C4E13">
        <w:rPr>
          <w:rFonts w:ascii="Arial" w:hAnsi="Arial" w:cs="Arial"/>
        </w:rPr>
        <w:t>§ 3.</w:t>
      </w:r>
      <w:r w:rsidRPr="003C4E13">
        <w:rPr>
          <w:rFonts w:ascii="Arial" w:hAnsi="Arial" w:cs="Arial"/>
          <w:b/>
          <w:bCs/>
        </w:rPr>
        <w:t xml:space="preserve"> </w:t>
      </w:r>
      <w:r w:rsidRPr="003C4E13">
        <w:rPr>
          <w:rFonts w:ascii="Arial" w:hAnsi="Arial" w:cs="Arial"/>
        </w:rPr>
        <w:t>Uchwała wchodzi w życie z dniem podjęcia.</w:t>
      </w:r>
    </w:p>
    <w:p w14:paraId="032BD4F2" w14:textId="77777777" w:rsidR="00834ADE" w:rsidRPr="003C4E13" w:rsidRDefault="00834ADE" w:rsidP="00834ADE">
      <w:pPr>
        <w:spacing w:line="360" w:lineRule="auto"/>
        <w:rPr>
          <w:rFonts w:ascii="Arial" w:hAnsi="Arial" w:cs="Arial"/>
        </w:rPr>
      </w:pPr>
      <w:r w:rsidRPr="003C4E13">
        <w:rPr>
          <w:rFonts w:ascii="Arial" w:hAnsi="Arial" w:cs="Arial"/>
        </w:rPr>
        <w:t>Załącznik do Uchwały Nr</w:t>
      </w:r>
      <w:r>
        <w:rPr>
          <w:rFonts w:ascii="Arial" w:hAnsi="Arial" w:cs="Arial"/>
        </w:rPr>
        <w:t xml:space="preserve"> </w:t>
      </w:r>
      <w:r w:rsidRPr="00834ADE">
        <w:rPr>
          <w:rFonts w:ascii="Arial" w:hAnsi="Arial" w:cs="Arial"/>
        </w:rPr>
        <w:t>XXXVIII/507/21</w:t>
      </w:r>
    </w:p>
    <w:p w14:paraId="4394FBC4" w14:textId="77777777" w:rsidR="00834ADE" w:rsidRPr="003C4E13" w:rsidRDefault="00834ADE" w:rsidP="00834ADE">
      <w:pPr>
        <w:spacing w:line="360" w:lineRule="auto"/>
        <w:rPr>
          <w:rFonts w:ascii="Arial" w:hAnsi="Arial" w:cs="Arial"/>
        </w:rPr>
      </w:pPr>
      <w:r w:rsidRPr="003C4E13">
        <w:rPr>
          <w:rFonts w:ascii="Arial" w:hAnsi="Arial" w:cs="Arial"/>
        </w:rPr>
        <w:t xml:space="preserve">Rady Miasta Piotrkowa Trybunalskiego z dnia </w:t>
      </w:r>
      <w:r w:rsidRPr="00834ADE">
        <w:rPr>
          <w:rFonts w:ascii="Arial" w:hAnsi="Arial" w:cs="Arial"/>
        </w:rPr>
        <w:t>28 czerwca 2021</w:t>
      </w:r>
      <w:r>
        <w:rPr>
          <w:rFonts w:ascii="Arial" w:hAnsi="Arial" w:cs="Arial"/>
        </w:rPr>
        <w:t xml:space="preserve"> roku</w:t>
      </w:r>
    </w:p>
    <w:p w14:paraId="458B5C5B" w14:textId="77777777" w:rsidR="00834ADE" w:rsidRPr="003C4E13" w:rsidRDefault="00834ADE" w:rsidP="00834ADE">
      <w:pPr>
        <w:spacing w:line="360" w:lineRule="auto"/>
        <w:rPr>
          <w:rFonts w:ascii="Arial" w:hAnsi="Arial" w:cs="Arial"/>
        </w:rPr>
      </w:pPr>
      <w:r w:rsidRPr="003C4E13">
        <w:rPr>
          <w:rFonts w:ascii="Arial" w:hAnsi="Arial" w:cs="Arial"/>
        </w:rPr>
        <w:t>Uzasadnienie</w:t>
      </w:r>
    </w:p>
    <w:p w14:paraId="0E62EAD9" w14:textId="77777777" w:rsidR="00834ADE" w:rsidRPr="003C4E13" w:rsidRDefault="00834ADE" w:rsidP="00834ADE">
      <w:pPr>
        <w:spacing w:line="360" w:lineRule="auto"/>
        <w:rPr>
          <w:rFonts w:ascii="Arial" w:hAnsi="Arial" w:cs="Arial"/>
          <w:bCs/>
        </w:rPr>
      </w:pPr>
      <w:r w:rsidRPr="003C4E13">
        <w:rPr>
          <w:rFonts w:ascii="Arial" w:hAnsi="Arial" w:cs="Arial"/>
        </w:rPr>
        <w:lastRenderedPageBreak/>
        <w:t>W dniu 11 maja 2021 r. wpłynęła do Rady Miasta Piotrkowa Trybunalskiego skarga na działalność Prezydenta Miasta Piotrkowa Trybunalskiego</w:t>
      </w:r>
      <w:r w:rsidRPr="003C4E13">
        <w:rPr>
          <w:rFonts w:ascii="Arial" w:hAnsi="Arial" w:cs="Arial"/>
          <w:bCs/>
        </w:rPr>
        <w:t xml:space="preserve"> złożona w związku </w:t>
      </w:r>
      <w:r>
        <w:rPr>
          <w:rFonts w:ascii="Arial" w:hAnsi="Arial" w:cs="Arial"/>
          <w:bCs/>
        </w:rPr>
        <w:br/>
      </w:r>
      <w:r w:rsidRPr="003C4E13">
        <w:rPr>
          <w:rFonts w:ascii="Arial" w:hAnsi="Arial" w:cs="Arial"/>
          <w:bCs/>
        </w:rPr>
        <w:t>z nieudzieleniem w sposób przewidziany Kodeksem postępowania administracyjnego odpowiedzi  na wniosek z dnia 28 maja 2020 r. i ponowny wniosek z dnia 11 sierpnia 2020 r. dotyczący zmiany organizacji ruchu drogowego w ciągu ulic Rakowskie</w:t>
      </w:r>
      <w:r>
        <w:rPr>
          <w:rFonts w:ascii="Arial" w:hAnsi="Arial" w:cs="Arial"/>
          <w:bCs/>
        </w:rPr>
        <w:t xml:space="preserve">j, </w:t>
      </w:r>
      <w:r w:rsidRPr="003C4E13">
        <w:rPr>
          <w:rFonts w:ascii="Arial" w:hAnsi="Arial" w:cs="Arial"/>
          <w:bCs/>
        </w:rPr>
        <w:t>Miast Partnerskich oraz Sulejowskiej w Piotrkowie Trybunalskim.</w:t>
      </w:r>
    </w:p>
    <w:p w14:paraId="03D84DDE" w14:textId="77777777" w:rsidR="00834ADE" w:rsidRPr="003C4E13" w:rsidRDefault="00834ADE" w:rsidP="00834ADE">
      <w:pPr>
        <w:spacing w:line="360" w:lineRule="auto"/>
        <w:rPr>
          <w:rFonts w:ascii="Arial" w:hAnsi="Arial" w:cs="Arial"/>
        </w:rPr>
      </w:pPr>
      <w:r w:rsidRPr="003C4E13">
        <w:rPr>
          <w:rFonts w:ascii="Arial" w:hAnsi="Arial" w:cs="Arial"/>
        </w:rPr>
        <w:t>W dniu 11 maja 2021 r. skarżący złożył wniosek do Wojewody Łódzkiego w sprawie podjęcia działań nadzorczych w związku z obowiązującą organizacją ruchu na ulicach Rakowskiej, Miast Partnerskich i Sulejowskiej w Piotrkowie Trybunalskim (ciąg dróg krajowych nr 12 i 74) w zakresie wyznaczonych granic obszaru zabudowanego znakami D-42 i D-43, mający na celu dostosowanie organizacji ruchu do obowiązujących przepisów (tj. likwidacji obszaru zabudowanego na ww. ulicach). Wniosek ten został uznany przez Łódzki Urząd Wojewódzki  jako skarga na działalność Prezydenta Miasta Piotrkowa Trybunalskiego i  przesłany pismem z dnia 18 maja 2021 r. znak: RT-I.1411.6.2021. do Rady Miasta celem rozpoznania.</w:t>
      </w:r>
    </w:p>
    <w:p w14:paraId="1C2FF89F" w14:textId="77777777" w:rsidR="00834ADE" w:rsidRPr="003C4E13" w:rsidRDefault="00834ADE" w:rsidP="00834ADE">
      <w:pPr>
        <w:spacing w:line="360" w:lineRule="auto"/>
        <w:rPr>
          <w:rFonts w:ascii="Arial" w:hAnsi="Arial" w:cs="Arial"/>
        </w:rPr>
      </w:pPr>
      <w:r w:rsidRPr="003C4E13">
        <w:rPr>
          <w:rFonts w:ascii="Arial" w:hAnsi="Arial" w:cs="Arial"/>
          <w:bCs/>
        </w:rPr>
        <w:t xml:space="preserve">Komisja Skarg, Wniosków i Petycji zapoznała się </w:t>
      </w:r>
      <w:r w:rsidRPr="003C4E13">
        <w:rPr>
          <w:rFonts w:ascii="Arial" w:hAnsi="Arial" w:cs="Arial"/>
        </w:rPr>
        <w:t xml:space="preserve">zarówno ze skargą </w:t>
      </w:r>
      <w:r w:rsidRPr="003C4E13">
        <w:rPr>
          <w:rFonts w:ascii="Arial" w:hAnsi="Arial" w:cs="Arial"/>
          <w:bCs/>
        </w:rPr>
        <w:t xml:space="preserve">Pana (dokonano </w:t>
      </w:r>
      <w:proofErr w:type="spellStart"/>
      <w:r w:rsidRPr="003C4E13">
        <w:rPr>
          <w:rFonts w:ascii="Arial" w:hAnsi="Arial" w:cs="Arial"/>
          <w:bCs/>
        </w:rPr>
        <w:t>anonimizacji</w:t>
      </w:r>
      <w:proofErr w:type="spellEnd"/>
      <w:r w:rsidRPr="003C4E13">
        <w:rPr>
          <w:rFonts w:ascii="Arial" w:hAnsi="Arial" w:cs="Arial"/>
          <w:bCs/>
        </w:rPr>
        <w:t xml:space="preserve"> danych osobowych) jak również z Zawiadomieniem Wojewody Łódzkiego przekazującym wniosek Pana (dokonano </w:t>
      </w:r>
      <w:proofErr w:type="spellStart"/>
      <w:r w:rsidRPr="003C4E13">
        <w:rPr>
          <w:rFonts w:ascii="Arial" w:hAnsi="Arial" w:cs="Arial"/>
          <w:bCs/>
        </w:rPr>
        <w:t>anonimizacji</w:t>
      </w:r>
      <w:proofErr w:type="spellEnd"/>
      <w:r w:rsidRPr="003C4E13">
        <w:rPr>
          <w:rFonts w:ascii="Arial" w:hAnsi="Arial" w:cs="Arial"/>
          <w:bCs/>
        </w:rPr>
        <w:t xml:space="preserve"> danych osobowych) </w:t>
      </w:r>
      <w:r w:rsidRPr="003C4E13">
        <w:rPr>
          <w:rFonts w:ascii="Arial" w:hAnsi="Arial" w:cs="Arial"/>
        </w:rPr>
        <w:t xml:space="preserve">w sprawie dostosowania organizacji ruchu na ulicach Rakowskiej, Miast Partnerskich i Sulejowskiej w Piotrkowie Trybunalskim (ciąg dróg krajowych nr 12 </w:t>
      </w:r>
      <w:r>
        <w:rPr>
          <w:rFonts w:ascii="Arial" w:hAnsi="Arial" w:cs="Arial"/>
        </w:rPr>
        <w:br/>
      </w:r>
      <w:r w:rsidRPr="003C4E13">
        <w:rPr>
          <w:rFonts w:ascii="Arial" w:hAnsi="Arial" w:cs="Arial"/>
        </w:rPr>
        <w:t xml:space="preserve">i 74) w zakresie wyznaczonych granic obszaru zabudowanego znakami D-42 i D-43, mających na celu dostosowanie organizacji ruchu do obowiązujących przepisów (tj. likwidacji obszaru zabudowanego na ww. ulicach). </w:t>
      </w:r>
      <w:r w:rsidRPr="003C4E13">
        <w:rPr>
          <w:rFonts w:ascii="Arial" w:hAnsi="Arial" w:cs="Arial"/>
          <w:bCs/>
        </w:rPr>
        <w:t>Organ wykonawczy p</w:t>
      </w:r>
      <w:r w:rsidRPr="003C4E13">
        <w:rPr>
          <w:rFonts w:ascii="Arial" w:hAnsi="Arial" w:cs="Arial"/>
        </w:rPr>
        <w:t xml:space="preserve">odtrzymał swoje dotychczasowe stanowisko w kwestii </w:t>
      </w:r>
      <w:r w:rsidRPr="003C4E13">
        <w:rPr>
          <w:rFonts w:ascii="Arial" w:hAnsi="Arial" w:cs="Arial"/>
          <w:bCs/>
        </w:rPr>
        <w:t xml:space="preserve">sposobu rozpatrzenia skarg Pana (dokonano </w:t>
      </w:r>
      <w:proofErr w:type="spellStart"/>
      <w:r w:rsidRPr="003C4E13">
        <w:rPr>
          <w:rFonts w:ascii="Arial" w:hAnsi="Arial" w:cs="Arial"/>
          <w:bCs/>
        </w:rPr>
        <w:t>anonimizacji</w:t>
      </w:r>
      <w:proofErr w:type="spellEnd"/>
      <w:r w:rsidRPr="003C4E13">
        <w:rPr>
          <w:rFonts w:ascii="Arial" w:hAnsi="Arial" w:cs="Arial"/>
          <w:bCs/>
        </w:rPr>
        <w:t xml:space="preserve"> danych osobowych) w sprawie zmiany organizacji ruchu drogowego na ul. Miast Partnerskich w Piotrkowie Trybunalskim, z uwagi na fakt, </w:t>
      </w:r>
      <w:r>
        <w:rPr>
          <w:rFonts w:ascii="Arial" w:hAnsi="Arial" w:cs="Arial"/>
          <w:bCs/>
        </w:rPr>
        <w:br/>
      </w:r>
      <w:r w:rsidRPr="003C4E13">
        <w:rPr>
          <w:rFonts w:ascii="Arial" w:hAnsi="Arial" w:cs="Arial"/>
          <w:bCs/>
        </w:rPr>
        <w:t>że nie zaistniały żadne nowe okolic</w:t>
      </w:r>
      <w:r>
        <w:rPr>
          <w:rFonts w:ascii="Arial" w:hAnsi="Arial" w:cs="Arial"/>
          <w:bCs/>
        </w:rPr>
        <w:t>zności w przedmiotowej sprawie.</w:t>
      </w:r>
    </w:p>
    <w:p w14:paraId="77619D5C" w14:textId="77777777" w:rsidR="00834ADE" w:rsidRPr="003C4E13" w:rsidRDefault="00834ADE" w:rsidP="00834ADE">
      <w:pPr>
        <w:spacing w:line="360" w:lineRule="auto"/>
        <w:rPr>
          <w:rFonts w:ascii="Arial" w:hAnsi="Arial" w:cs="Arial"/>
        </w:rPr>
      </w:pPr>
      <w:r w:rsidRPr="003C4E13">
        <w:rPr>
          <w:rFonts w:ascii="Arial" w:hAnsi="Arial" w:cs="Arial"/>
          <w:bCs/>
        </w:rPr>
        <w:t xml:space="preserve">Rada Miasta rozpatrywała skargi Pana (dokonano </w:t>
      </w:r>
      <w:proofErr w:type="spellStart"/>
      <w:r w:rsidRPr="003C4E13">
        <w:rPr>
          <w:rFonts w:ascii="Arial" w:hAnsi="Arial" w:cs="Arial"/>
          <w:bCs/>
        </w:rPr>
        <w:t>anonimizacji</w:t>
      </w:r>
      <w:proofErr w:type="spellEnd"/>
      <w:r w:rsidRPr="003C4E13">
        <w:rPr>
          <w:rFonts w:ascii="Arial" w:hAnsi="Arial" w:cs="Arial"/>
          <w:bCs/>
        </w:rPr>
        <w:t xml:space="preserve"> danych osobowych) w przedmiotowej kwestii już trzykrotnie: Uchwałą Nr XVII/284/20 z dnia 26 lutego 2020 r. uznała skargę za bezzasadną, następnie Uchwałą Nr XVIII/294/20 z dnia 18 marca 2020 r. podtrzymała swoje poprzednie stanowisko o bezzasadności skargi, Uchwałą Nr XXVII/387/20 z dnia 30 września 2020 r. podtrzymała poprzednie stanowisko o bezzasadności skargi.</w:t>
      </w:r>
    </w:p>
    <w:p w14:paraId="76DEDC10" w14:textId="77777777" w:rsidR="00834ADE" w:rsidRPr="003C4E13" w:rsidRDefault="00834ADE" w:rsidP="00834ADE">
      <w:pPr>
        <w:spacing w:line="360" w:lineRule="auto"/>
        <w:rPr>
          <w:rFonts w:ascii="Arial" w:hAnsi="Arial" w:cs="Arial"/>
          <w:bCs/>
        </w:rPr>
      </w:pPr>
      <w:r w:rsidRPr="003C4E13">
        <w:rPr>
          <w:rFonts w:ascii="Arial" w:hAnsi="Arial" w:cs="Arial"/>
          <w:bCs/>
        </w:rPr>
        <w:lastRenderedPageBreak/>
        <w:t xml:space="preserve">Wystąpienie Pana (dokonano </w:t>
      </w:r>
      <w:proofErr w:type="spellStart"/>
      <w:r w:rsidRPr="003C4E13">
        <w:rPr>
          <w:rFonts w:ascii="Arial" w:hAnsi="Arial" w:cs="Arial"/>
          <w:bCs/>
        </w:rPr>
        <w:t>anonimizacji</w:t>
      </w:r>
      <w:proofErr w:type="spellEnd"/>
      <w:r w:rsidRPr="003C4E13">
        <w:rPr>
          <w:rFonts w:ascii="Arial" w:hAnsi="Arial" w:cs="Arial"/>
          <w:bCs/>
        </w:rPr>
        <w:t xml:space="preserve"> danych osobowych) z dnia 11 maja 2021 r. jest czwartym już w tej samej sprawie. W myśl przepisu art. 239 §1 Kpa w przypadku gdy skarga, w wyniku jej rozpatrzenia, uznana została za bezzasadną i jej bezzasadność wykazano w odpowiedzi na skargę, a skarżący ponowił skargę bez wskazania nowych okoliczności – organ właściwy do jej rozpatrzenia może </w:t>
      </w:r>
      <w:r>
        <w:rPr>
          <w:rFonts w:ascii="Arial" w:hAnsi="Arial" w:cs="Arial"/>
          <w:bCs/>
        </w:rPr>
        <w:br/>
      </w:r>
      <w:r w:rsidRPr="003C4E13">
        <w:rPr>
          <w:rFonts w:ascii="Arial" w:hAnsi="Arial" w:cs="Arial"/>
          <w:bCs/>
        </w:rPr>
        <w:t xml:space="preserve">w odpowiedzi na tę skargę, podtrzymać swoje poprzednie stanowisko. W związku </w:t>
      </w:r>
      <w:r>
        <w:rPr>
          <w:rFonts w:ascii="Arial" w:hAnsi="Arial" w:cs="Arial"/>
          <w:bCs/>
        </w:rPr>
        <w:br/>
      </w:r>
      <w:r w:rsidRPr="003C4E13">
        <w:rPr>
          <w:rFonts w:ascii="Arial" w:hAnsi="Arial" w:cs="Arial"/>
          <w:bCs/>
        </w:rPr>
        <w:t xml:space="preserve">z powyższym Rada Miasta Piotrkowa Trybunalskiego podtrzymuje stanowisko o bezzasadności skargi wyrażone w </w:t>
      </w:r>
      <w:r w:rsidRPr="003C4E13">
        <w:rPr>
          <w:rFonts w:ascii="Arial" w:hAnsi="Arial" w:cs="Arial"/>
        </w:rPr>
        <w:t xml:space="preserve">Uchwale Nr XVII/284/20 z dnia 26 lutego 2020 r. </w:t>
      </w:r>
      <w:r>
        <w:rPr>
          <w:rFonts w:ascii="Arial" w:hAnsi="Arial" w:cs="Arial"/>
        </w:rPr>
        <w:br/>
      </w:r>
      <w:r w:rsidRPr="003C4E13">
        <w:rPr>
          <w:rFonts w:ascii="Arial" w:hAnsi="Arial" w:cs="Arial"/>
        </w:rPr>
        <w:t>i podtrzymane w Uchwale Nr XVIII/294/20 z dnia 18 marca 2020 r. oraz w Uchwale Nr XXVII/387/20 z dnia 30 września 2020 r. w sprawie skargi na działalność Prezydenta Miasta Piotrkowa Trybunalskiego.</w:t>
      </w:r>
    </w:p>
    <w:p w14:paraId="5EAD4593" w14:textId="77777777" w:rsidR="00834ADE" w:rsidRDefault="00834ADE" w:rsidP="00834ADE">
      <w:pPr>
        <w:spacing w:line="360" w:lineRule="auto"/>
        <w:rPr>
          <w:rFonts w:ascii="Arial" w:hAnsi="Arial" w:cs="Arial"/>
          <w:color w:val="333333"/>
          <w:shd w:val="clear" w:color="auto" w:fill="FFFFFF"/>
        </w:rPr>
      </w:pPr>
      <w:r w:rsidRPr="003C4E13">
        <w:rPr>
          <w:rFonts w:ascii="Arial" w:hAnsi="Arial" w:cs="Arial"/>
          <w:bCs/>
        </w:rPr>
        <w:t xml:space="preserve">Pouczenie: Zgodnie z art. 239 §1 Kpa w </w:t>
      </w:r>
      <w:r w:rsidRPr="003C4E13">
        <w:rPr>
          <w:rFonts w:ascii="Arial" w:hAnsi="Arial" w:cs="Arial"/>
          <w:color w:val="333333"/>
          <w:shd w:val="clear" w:color="auto" w:fill="FFFFFF"/>
        </w:rPr>
        <w:t>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38530AAB" w14:textId="77777777" w:rsidR="00335395" w:rsidRPr="003C4E13" w:rsidRDefault="00335395" w:rsidP="00834ADE">
      <w:pPr>
        <w:spacing w:line="360" w:lineRule="auto"/>
        <w:rPr>
          <w:rFonts w:ascii="Arial" w:hAnsi="Arial" w:cs="Arial"/>
          <w:bCs/>
          <w:color w:val="000000" w:themeColor="text1"/>
        </w:rPr>
      </w:pPr>
      <w:r>
        <w:rPr>
          <w:rFonts w:ascii="Arial" w:hAnsi="Arial" w:cs="Arial"/>
          <w:color w:val="333333"/>
          <w:shd w:val="clear" w:color="auto" w:fill="FFFFFF"/>
        </w:rPr>
        <w:t>Przewodniczący Rady Miasta (-) Marian Błaszczyński</w:t>
      </w:r>
    </w:p>
    <w:sectPr w:rsidR="00335395" w:rsidRPr="003C4E1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DE"/>
    <w:rsid w:val="002F09CB"/>
    <w:rsid w:val="00335395"/>
    <w:rsid w:val="006A5696"/>
    <w:rsid w:val="00834ADE"/>
    <w:rsid w:val="00C33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5DE9"/>
  <w15:chartTrackingRefBased/>
  <w15:docId w15:val="{B717CAFB-7783-4D4F-AFEE-E0D3DF5B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A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4999</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cp:keywords/>
  <dc:description/>
  <cp:lastModifiedBy>Jarzębska Monika</cp:lastModifiedBy>
  <cp:revision>2</cp:revision>
  <dcterms:created xsi:type="dcterms:W3CDTF">2021-07-05T12:02:00Z</dcterms:created>
  <dcterms:modified xsi:type="dcterms:W3CDTF">2021-07-05T12:02:00Z</dcterms:modified>
</cp:coreProperties>
</file>