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43" w:rsidRPr="00454B6E" w:rsidRDefault="00475C43" w:rsidP="00475C43">
      <w:pPr>
        <w:spacing w:after="0" w:line="240" w:lineRule="auto"/>
        <w:ind w:left="4956"/>
        <w:rPr>
          <w:rFonts w:eastAsiaTheme="minorHAnsi"/>
          <w:sz w:val="20"/>
          <w:szCs w:val="20"/>
          <w:lang w:eastAsia="en-US"/>
        </w:rPr>
      </w:pPr>
      <w:r w:rsidRPr="00454B6E">
        <w:rPr>
          <w:rFonts w:eastAsiaTheme="minorHAnsi"/>
          <w:sz w:val="20"/>
          <w:szCs w:val="20"/>
          <w:lang w:eastAsia="en-US"/>
        </w:rPr>
        <w:t xml:space="preserve">           </w:t>
      </w: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454B6E">
        <w:rPr>
          <w:rFonts w:eastAsiaTheme="minorHAnsi"/>
          <w:sz w:val="20"/>
          <w:szCs w:val="20"/>
          <w:lang w:eastAsia="en-US"/>
        </w:rPr>
        <w:t xml:space="preserve"> Załącz</w:t>
      </w:r>
      <w:r>
        <w:rPr>
          <w:rFonts w:eastAsiaTheme="minorHAnsi"/>
          <w:sz w:val="20"/>
          <w:szCs w:val="20"/>
          <w:lang w:eastAsia="en-US"/>
        </w:rPr>
        <w:t>nik Nr 2 do Zarządzenia Nr 132</w:t>
      </w:r>
    </w:p>
    <w:p w:rsidR="00475C43" w:rsidRPr="00454B6E" w:rsidRDefault="00475C43" w:rsidP="00475C43">
      <w:pPr>
        <w:spacing w:after="0" w:line="240" w:lineRule="auto"/>
        <w:ind w:left="4956"/>
        <w:jc w:val="right"/>
        <w:rPr>
          <w:rFonts w:eastAsiaTheme="minorHAnsi"/>
          <w:sz w:val="20"/>
          <w:szCs w:val="20"/>
          <w:lang w:eastAsia="en-US"/>
        </w:rPr>
      </w:pPr>
      <w:r w:rsidRPr="00454B6E">
        <w:rPr>
          <w:rFonts w:eastAsiaTheme="minorHAnsi"/>
          <w:sz w:val="20"/>
          <w:szCs w:val="20"/>
          <w:lang w:eastAsia="en-US"/>
        </w:rPr>
        <w:t xml:space="preserve">Prezydenta Miasta Piotrkowa Trybunalskiego </w:t>
      </w:r>
    </w:p>
    <w:p w:rsidR="00475C43" w:rsidRPr="00454B6E" w:rsidRDefault="00475C43" w:rsidP="00475C43">
      <w:pPr>
        <w:spacing w:after="0" w:line="240" w:lineRule="auto"/>
        <w:ind w:left="4956"/>
        <w:rPr>
          <w:rFonts w:eastAsiaTheme="minorHAnsi"/>
          <w:sz w:val="20"/>
          <w:szCs w:val="20"/>
          <w:lang w:eastAsia="en-US"/>
        </w:rPr>
      </w:pPr>
      <w:r w:rsidRPr="00454B6E">
        <w:rPr>
          <w:rFonts w:eastAsiaTheme="minorHAnsi"/>
          <w:sz w:val="20"/>
          <w:szCs w:val="20"/>
          <w:lang w:eastAsia="en-US"/>
        </w:rPr>
        <w:t xml:space="preserve">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z dnia 24 maja </w:t>
      </w:r>
      <w:r w:rsidRPr="00454B6E">
        <w:rPr>
          <w:rFonts w:eastAsiaTheme="minorHAnsi"/>
          <w:sz w:val="20"/>
          <w:szCs w:val="20"/>
          <w:lang w:eastAsia="en-US"/>
        </w:rPr>
        <w:t>2021 roku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454B6E">
        <w:rPr>
          <w:rFonts w:eastAsiaTheme="minorHAnsi"/>
          <w:lang w:eastAsia="en-US"/>
        </w:rPr>
        <w:t xml:space="preserve">Na podstawie art. 30 ust. 1 ustawy z dnia 8 marca 1990 roku o samorządzie gminnym </w:t>
      </w:r>
      <w:r w:rsidRPr="00454B6E">
        <w:rPr>
          <w:rFonts w:eastAsiaTheme="minorHAnsi"/>
          <w:lang w:eastAsia="en-US"/>
        </w:rPr>
        <w:br/>
        <w:t xml:space="preserve">(Dz. U. z 2020r., poz. 713 ze zm.), art. 4 ust. 1 pkt 15, art. 11 ust. 1 pkt 1 i ust. 2, art. 13 ustawy z dnia 24 kwietnia 2003 roku o działalności pożytku publicznego i o wolontariacie (Dz. U. z 2020r., poz. 1057 ze zm.), ustawy z dnia 26 października 1982 roku o wychowaniu w trzeźwości i przeciwdziałaniu alkoholizmowi (Dz. U. z 2019 r., poz. 2277 ze zm.), oraz na podstawie Uchwały Nr </w:t>
      </w:r>
      <w:r w:rsidRPr="00454B6E">
        <w:rPr>
          <w:rFonts w:eastAsiaTheme="minorHAnsi"/>
          <w:caps/>
          <w:lang w:eastAsia="en-US"/>
        </w:rPr>
        <w:t xml:space="preserve">XXXI/426/20 </w:t>
      </w:r>
      <w:r w:rsidRPr="00454B6E">
        <w:rPr>
          <w:rFonts w:eastAsiaTheme="minorHAnsi"/>
          <w:lang w:eastAsia="en-US"/>
        </w:rPr>
        <w:t>Rady Miasta Piotrkowa Trybunalskiego z dnia 21 grudnia 2020 roku w sprawie uchwały budżetowej miasta na 2021 rok.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/>
          <w:lang w:eastAsia="en-US"/>
        </w:rPr>
        <w:t xml:space="preserve"> </w:t>
      </w:r>
    </w:p>
    <w:p w:rsidR="00475C43" w:rsidRPr="00454B6E" w:rsidRDefault="00475C43" w:rsidP="00475C43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454B6E">
        <w:rPr>
          <w:rFonts w:eastAsiaTheme="minorHAnsi"/>
          <w:b/>
          <w:lang w:eastAsia="en-US"/>
        </w:rPr>
        <w:t>REGULAMIN</w:t>
      </w:r>
    </w:p>
    <w:p w:rsidR="00475C43" w:rsidRPr="00454B6E" w:rsidRDefault="00475C43" w:rsidP="00475C43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454B6E">
        <w:rPr>
          <w:rFonts w:eastAsiaTheme="minorHAnsi"/>
          <w:b/>
          <w:lang w:eastAsia="en-US"/>
        </w:rPr>
        <w:t>przeprowadzenia otwartego konkursu ofert dla zadań określonych</w:t>
      </w:r>
    </w:p>
    <w:p w:rsidR="00475C43" w:rsidRPr="00454B6E" w:rsidRDefault="00475C43" w:rsidP="00475C43">
      <w:pPr>
        <w:spacing w:after="0" w:line="24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§1 Zarządzenia Nr 132</w:t>
      </w:r>
      <w:r w:rsidRPr="00454B6E">
        <w:rPr>
          <w:rFonts w:eastAsiaTheme="minorHAnsi"/>
          <w:b/>
          <w:lang w:eastAsia="en-US"/>
        </w:rPr>
        <w:t xml:space="preserve"> Prezydenta Miasta Piotrkowa Trybunalskiego</w:t>
      </w:r>
    </w:p>
    <w:p w:rsidR="00475C43" w:rsidRPr="00454B6E" w:rsidRDefault="00475C43" w:rsidP="00475C43">
      <w:pPr>
        <w:spacing w:after="0" w:line="24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z dnia maja </w:t>
      </w:r>
      <w:r w:rsidRPr="00454B6E">
        <w:rPr>
          <w:rFonts w:eastAsiaTheme="minorHAnsi"/>
          <w:b/>
          <w:lang w:eastAsia="en-US"/>
        </w:rPr>
        <w:t>2021 roku</w:t>
      </w:r>
    </w:p>
    <w:p w:rsidR="00475C43" w:rsidRPr="00454B6E" w:rsidRDefault="00475C43" w:rsidP="00475C43">
      <w:pPr>
        <w:spacing w:after="0" w:line="240" w:lineRule="auto"/>
        <w:rPr>
          <w:rFonts w:eastAsiaTheme="minorHAnsi"/>
          <w:lang w:eastAsia="en-US"/>
        </w:rPr>
      </w:pP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454B6E">
        <w:rPr>
          <w:rFonts w:eastAsiaTheme="minorHAnsi"/>
          <w:lang w:eastAsia="en-US"/>
        </w:rPr>
        <w:t>§ 1. Celem otwartego konkursu ofert jest wyłonienie podmiotów, którym Miasto Piotrków Trybunalski udzieli dotacji na wsparcie zadania publicznego z zakresu przeciwdziałania patologiom społecznym pod nazwą „Organizacja wypoczynku letniego dla dzieci i młodzieży – kolonii oraz obozów profilaktycznych dla dzieci i młodzieży z rodzin alkoholowych i dotkniętych przemocą domową z terenu Miasta Piotrkowa Trybunalskiego”.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/>
          <w:lang w:eastAsia="en-US"/>
        </w:rPr>
        <w:t xml:space="preserve">§ 2. W otwartym konkursie ofert mogą uczestniczyć podmioty, o których mowa w ustawie z dnia </w:t>
      </w:r>
      <w:r w:rsidRPr="00454B6E">
        <w:rPr>
          <w:rFonts w:eastAsiaTheme="minorHAnsi"/>
          <w:lang w:eastAsia="en-US"/>
        </w:rPr>
        <w:br/>
        <w:t>24 kwietnia 2003 roku o działalności pożytku publicznego i o wolontariacie (</w:t>
      </w:r>
      <w:proofErr w:type="spellStart"/>
      <w:r w:rsidRPr="00454B6E">
        <w:rPr>
          <w:rFonts w:eastAsiaTheme="minorHAnsi"/>
          <w:lang w:eastAsia="en-US"/>
        </w:rPr>
        <w:t>t.j</w:t>
      </w:r>
      <w:proofErr w:type="spellEnd"/>
      <w:r w:rsidRPr="00454B6E">
        <w:rPr>
          <w:rFonts w:eastAsiaTheme="minorHAnsi"/>
          <w:lang w:eastAsia="en-US"/>
        </w:rPr>
        <w:t>.: Dz. U. z 2020 r., poz. 1057 ze zm.), a mianowicie:</w:t>
      </w:r>
    </w:p>
    <w:p w:rsidR="00475C43" w:rsidRPr="00454B6E" w:rsidRDefault="00475C43" w:rsidP="00475C4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organizacje pozarządowe prowadzące działalność pożytku publicznego,</w:t>
      </w:r>
    </w:p>
    <w:p w:rsidR="00475C43" w:rsidRPr="00454B6E" w:rsidRDefault="00475C43" w:rsidP="00475C4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oraz podmioty wymienione w art. 3 ust. 3</w:t>
      </w:r>
      <w:r w:rsidRPr="00454B6E">
        <w:rPr>
          <w:rFonts w:eastAsiaTheme="minorHAnsi"/>
          <w:lang w:eastAsia="en-US"/>
        </w:rPr>
        <w:t xml:space="preserve"> ustawy o działalności pożytku publicznego </w:t>
      </w:r>
      <w:r w:rsidRPr="00454B6E">
        <w:rPr>
          <w:rFonts w:eastAsiaTheme="minorHAnsi"/>
          <w:lang w:eastAsia="en-US"/>
        </w:rPr>
        <w:br/>
        <w:t>i o wolontariacie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/>
          <w:lang w:eastAsia="en-US"/>
        </w:rPr>
        <w:t xml:space="preserve">§ 3. Ogłoszenie o otwartym konkursie ofert zamieszcza się w Biuletynie Informacji Publicznej, a także </w:t>
      </w:r>
      <w:r w:rsidRPr="00454B6E">
        <w:rPr>
          <w:rFonts w:eastAsiaTheme="minorHAnsi"/>
          <w:lang w:eastAsia="en-US"/>
        </w:rPr>
        <w:br/>
        <w:t xml:space="preserve">w siedzibie Urzędu Miasta  Piotrkowa Trybunalskiego na tablicy ogłoszeń. Ponadto ogłoszenie wraz </w:t>
      </w:r>
      <w:r w:rsidRPr="00454B6E">
        <w:rPr>
          <w:rFonts w:eastAsiaTheme="minorHAnsi"/>
          <w:lang w:eastAsia="en-US"/>
        </w:rPr>
        <w:br/>
        <w:t xml:space="preserve">z regulaminem konkursu dostępne będą na stronie internetowej Urzędu Miasta – </w:t>
      </w:r>
      <w:hyperlink r:id="rId5" w:history="1">
        <w:r w:rsidRPr="00454B6E">
          <w:rPr>
            <w:rFonts w:eastAsiaTheme="minorHAnsi"/>
            <w:color w:val="0563C1" w:themeColor="hyperlink"/>
            <w:u w:val="single"/>
            <w:lang w:eastAsia="en-US"/>
          </w:rPr>
          <w:t>www.piotrkow.pl</w:t>
        </w:r>
      </w:hyperlink>
      <w:r w:rsidRPr="00454B6E">
        <w:rPr>
          <w:rFonts w:eastAsiaTheme="minorHAnsi"/>
          <w:color w:val="0563C1" w:themeColor="hyperlink"/>
          <w:u w:val="single"/>
          <w:lang w:eastAsia="en-US"/>
        </w:rPr>
        <w:t>.</w:t>
      </w:r>
      <w:r w:rsidRPr="00454B6E">
        <w:rPr>
          <w:rFonts w:eastAsiaTheme="minorHAnsi"/>
          <w:lang w:eastAsia="en-US"/>
        </w:rPr>
        <w:t xml:space="preserve"> 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/>
          <w:lang w:eastAsia="en-US"/>
        </w:rPr>
        <w:t>§ 4. Podmioty uczestniczące w konkursie ofert nie mogą prowadzić odpłatnej działalności pożytku publicznego i działalności gospodarczej w odniesieniu do tego samego przedmiotu działalności.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/>
          <w:lang w:eastAsia="en-US"/>
        </w:rPr>
        <w:t xml:space="preserve">§ 5. </w:t>
      </w:r>
      <w:r w:rsidRPr="00454B6E">
        <w:rPr>
          <w:rFonts w:eastAsiaTheme="minorHAnsi" w:cs="Arial"/>
          <w:lang w:eastAsia="en-US"/>
        </w:rPr>
        <w:t>Oferta musi być sporządzona zgodnie z wzorem określonym w rozporządzeniu Przewodniczącego Komitetu do Spraw Pożytku Publicznego z dnia 24 października 2018 roku w sprawie wzorów ofert</w:t>
      </w:r>
      <w:r w:rsidRPr="00454B6E">
        <w:rPr>
          <w:rFonts w:eastAsiaTheme="minorHAnsi" w:cs="Arial"/>
          <w:lang w:eastAsia="en-US"/>
        </w:rPr>
        <w:br/>
        <w:t xml:space="preserve"> i ramowych wzorów umów dotyczących realizacji zadań publicznych oraz wzorów sprawozdań </w:t>
      </w:r>
      <w:r w:rsidRPr="00454B6E">
        <w:rPr>
          <w:rFonts w:eastAsiaTheme="minorHAnsi" w:cs="Arial"/>
          <w:lang w:eastAsia="en-US"/>
        </w:rPr>
        <w:br/>
        <w:t xml:space="preserve"> z wykonania tych zadań (Dz. U. z 2018 r., poz. 2057).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§ 6. Składane oferty będą rejestrowane  w rejestrze ofert prowadzonym przez Referat Spraw Społecznych. 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§ 7. Referat Spraw Społecznych sprawdza czy składana oferta spełnia wymogi określone w art. 14 ustawy </w:t>
      </w:r>
      <w:r w:rsidRPr="00454B6E">
        <w:rPr>
          <w:rFonts w:eastAsiaTheme="minorHAnsi"/>
          <w:lang w:eastAsia="en-US"/>
        </w:rPr>
        <w:t>z dnia 24 kwietnia 2003 roku o działalności pożytku publicznego oraz wymogi określone w § 8 niniejszego regulaminu i dokonuje odrzucenia ofert niespełniających tych wymogów.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/>
          <w:lang w:eastAsia="en-US"/>
        </w:rPr>
      </w:pPr>
      <w:r w:rsidRPr="00454B6E">
        <w:rPr>
          <w:rFonts w:eastAsiaTheme="minorHAnsi"/>
          <w:lang w:eastAsia="en-US"/>
        </w:rPr>
        <w:t>§ 8. Złożona oferta podlega także odrzuceniu w przypadku gdy:</w:t>
      </w:r>
    </w:p>
    <w:p w:rsidR="00475C43" w:rsidRPr="00454B6E" w:rsidRDefault="00475C43" w:rsidP="00475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oferentem jest podmiot, który nie rozliczył się z poprzednio uzyskanego dofinansowania, </w:t>
      </w:r>
      <w:r w:rsidRPr="00454B6E">
        <w:rPr>
          <w:rFonts w:eastAsiaTheme="minorHAnsi" w:cs="Arial"/>
          <w:bCs/>
          <w:lang w:eastAsia="en-US"/>
        </w:rPr>
        <w:br/>
        <w:t>a upłynął już określony termin rozliczenia,</w:t>
      </w:r>
    </w:p>
    <w:p w:rsidR="00475C43" w:rsidRPr="00454B6E" w:rsidRDefault="00475C43" w:rsidP="00475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złożona jest na niewłaściwym formularzu, sporządzona wadliwie, nieczytelnie, niekompletnie bądź złożona po terminie,</w:t>
      </w:r>
    </w:p>
    <w:p w:rsidR="00475C43" w:rsidRPr="00454B6E" w:rsidRDefault="00475C43" w:rsidP="00475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jest nieodpowiadająca zadaniu wskazanemu w ogłoszeniu konkursowym,</w:t>
      </w:r>
    </w:p>
    <w:p w:rsidR="00475C43" w:rsidRPr="00454B6E" w:rsidRDefault="00475C43" w:rsidP="00475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dotyczy zadania, które nie jest objęte celami statutowymi podmiotu składającego ofertę, złożona jest przez podmiot nieuprawniony do wzięcia udziału w konkursie.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§ 9. Złożenie oferty nie jest równoznaczne z zapewnieniem przyznania dotacji w oczekiwanej wysokości. Kwota dotacji może być niższa od wnioskowanej w ofercie.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lastRenderedPageBreak/>
        <w:t>§ 10. Oceny złożonych i nieodrzuconych ofert dokonuje Komisja Konkursowa powołana przez Prezydenta Miasta Piotrkowa Trybunalskiego.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§ 11. Obsługę </w:t>
      </w:r>
      <w:proofErr w:type="spellStart"/>
      <w:r w:rsidRPr="00454B6E">
        <w:rPr>
          <w:rFonts w:eastAsiaTheme="minorHAnsi" w:cs="Arial"/>
          <w:bCs/>
          <w:lang w:eastAsia="en-US"/>
        </w:rPr>
        <w:t>administracyjno</w:t>
      </w:r>
      <w:proofErr w:type="spellEnd"/>
      <w:r w:rsidRPr="00454B6E">
        <w:rPr>
          <w:rFonts w:eastAsiaTheme="minorHAnsi" w:cs="Arial"/>
          <w:bCs/>
          <w:lang w:eastAsia="en-US"/>
        </w:rPr>
        <w:t xml:space="preserve"> – techniczną Zespołu zapewnia Referat Spraw Społecznych.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§ 12. Komisja Konkursowa może zaproponować kwotę dotacji w wysokości odpowiadającej całości lub części kwoty o jaką ubiegają się oferenci, z uwzględnieniem rodzajów wydatków kwalifikujących się do dofinansowania.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§ 13. W przypadku propozycji o zredukowaniu wnioskowanej kwoty dotacji, Komisja Konkursowa może wskazać pozycje kosztorysu, na dofinansowanie których przeznacza dotację oraz określić wysokość dofinansowania poszczególnych pozycji.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§ 14. Przy ocenie poszczególnych ofert członkowie Komisji Konkursowej stosują następujące kryteria </w:t>
      </w:r>
      <w:r w:rsidRPr="00454B6E">
        <w:rPr>
          <w:rFonts w:eastAsiaTheme="minorHAnsi" w:cs="Arial"/>
          <w:bCs/>
          <w:lang w:eastAsia="en-US"/>
        </w:rPr>
        <w:br/>
        <w:t>i skalę ocen:</w:t>
      </w:r>
    </w:p>
    <w:p w:rsidR="00475C43" w:rsidRPr="00454B6E" w:rsidRDefault="00475C43" w:rsidP="00475C43">
      <w:pPr>
        <w:widowControl w:val="0"/>
        <w:suppressAutoHyphens/>
        <w:spacing w:after="0" w:line="259" w:lineRule="auto"/>
        <w:ind w:left="284" w:hanging="284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 xml:space="preserve">  1) formalne: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czy oferta została złożona w terminie określonym w ogłoszeniu (TAK/NIE),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czy oferta została złożona przed podmiot uprawniony (TAK/NIE),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czy zadanie jest zgodne z działalnością statutową oferenta (TAK/NIE),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czy oferta została sporządzona na właściwym formularzu (TAK/NIE),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czy rodzaj zadania wskazany w ofercie mieści się w zakresie zadań wskazanych w ogłoszeniu (TAK/NIE),</w:t>
      </w:r>
    </w:p>
    <w:p w:rsidR="00475C43" w:rsidRPr="00454B6E" w:rsidRDefault="00475C43" w:rsidP="00475C43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 xml:space="preserve">czy oferta jest kompletna (zawiera wszystkie załączniki złożone we właściwej formie </w:t>
      </w:r>
      <w:r w:rsidRPr="00454B6E">
        <w:rPr>
          <w:rFonts w:eastAsiaTheme="minorHAnsi" w:cs="Arial"/>
          <w:lang w:eastAsia="en-US"/>
        </w:rPr>
        <w:br/>
        <w:t>i podpisane lub potwierdzone za zgodność z oryginałem we właściwy sposób przez uprawnione osoby (TAK/NIE).</w:t>
      </w:r>
    </w:p>
    <w:p w:rsidR="00475C43" w:rsidRPr="00454B6E" w:rsidRDefault="00475C43" w:rsidP="00475C43">
      <w:pPr>
        <w:widowControl w:val="0"/>
        <w:tabs>
          <w:tab w:val="left" w:pos="142"/>
        </w:tabs>
        <w:suppressAutoHyphens/>
        <w:spacing w:after="0" w:line="259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ab/>
        <w:t>2) merytoryczne: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ocena możliwości realizacji zadania przez oferenta (ocena w skali 0 – 10 pkt,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color w:val="000000" w:themeColor="text1"/>
          <w:lang w:eastAsia="en-US"/>
        </w:rPr>
      </w:pPr>
      <w:r w:rsidRPr="00454B6E">
        <w:rPr>
          <w:rFonts w:eastAsiaTheme="minorHAnsi" w:cs="Arial"/>
          <w:color w:val="000000" w:themeColor="text1"/>
          <w:lang w:eastAsia="en-US"/>
        </w:rPr>
        <w:t>kalkulacja kosztów zadania w odniesieniu do  oferowanego szczegółowego zakresu rzeczowego zadania: szczegółowe i precyzyjne wyliczenie kosztów, innych źródeł  finansowania w tym wkład własny wnioskodawcy (ocena w skali 0 – 20 pkt),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color w:val="000000" w:themeColor="text1"/>
          <w:lang w:eastAsia="en-US"/>
        </w:rPr>
      </w:pPr>
      <w:r w:rsidRPr="00454B6E">
        <w:rPr>
          <w:rFonts w:eastAsiaTheme="minorHAnsi" w:cs="Arial"/>
          <w:color w:val="000000" w:themeColor="text1"/>
          <w:lang w:eastAsia="en-US"/>
        </w:rPr>
        <w:t>dysponowanie kadrą zdolną do realizacji zadania (kwalifikacje i doświadczenie) (ocena w skali 0 – 20 pkt),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color w:val="FF0000"/>
          <w:lang w:eastAsia="en-US"/>
        </w:rPr>
      </w:pPr>
      <w:r w:rsidRPr="00454B6E">
        <w:rPr>
          <w:rFonts w:eastAsiaTheme="minorHAnsi" w:cs="Arial"/>
          <w:color w:val="000000" w:themeColor="text1"/>
          <w:lang w:eastAsia="en-US"/>
        </w:rPr>
        <w:t xml:space="preserve"> wkład rzeczowy i osobowy; praca wolontariuszy i praca społeczna członków (ocena w skali </w:t>
      </w:r>
      <w:r w:rsidRPr="00454B6E">
        <w:rPr>
          <w:rFonts w:eastAsiaTheme="minorHAnsi" w:cs="Arial"/>
          <w:color w:val="000000" w:themeColor="text1"/>
          <w:lang w:eastAsia="en-US"/>
        </w:rPr>
        <w:br/>
        <w:t>0 – 10 pkt),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Theme="minorHAnsi" w:cs="Arial"/>
          <w:color w:val="000000" w:themeColor="text1"/>
          <w:lang w:eastAsia="en-US"/>
        </w:rPr>
      </w:pPr>
      <w:r w:rsidRPr="00454B6E">
        <w:rPr>
          <w:rFonts w:eastAsiaTheme="minorHAnsi" w:cs="Arial"/>
          <w:color w:val="000000" w:themeColor="text1"/>
          <w:lang w:eastAsia="en-US"/>
        </w:rPr>
        <w:t xml:space="preserve">doświadczenie oferenta w organizacji wypoczynku dla dzieci z rodzin najuboższych (ocena </w:t>
      </w:r>
      <w:r w:rsidRPr="00454B6E">
        <w:rPr>
          <w:rFonts w:eastAsiaTheme="minorHAnsi" w:cs="Arial"/>
          <w:color w:val="000000" w:themeColor="text1"/>
          <w:lang w:eastAsia="en-US"/>
        </w:rPr>
        <w:br/>
        <w:t>w skali 0 – 10 pkt),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ilość dzieci, dla których organizowany jest wypoczynek (ocena w skali 0 – 10 pkt),</w:t>
      </w:r>
    </w:p>
    <w:p w:rsidR="00475C43" w:rsidRPr="00454B6E" w:rsidRDefault="00475C43" w:rsidP="00475C4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eastAsiaTheme="minorHAnsi" w:cs="Arial"/>
          <w:color w:val="000000" w:themeColor="text1"/>
          <w:lang w:eastAsia="en-US"/>
        </w:rPr>
      </w:pPr>
      <w:r w:rsidRPr="00454B6E">
        <w:rPr>
          <w:rFonts w:eastAsiaTheme="minorHAnsi" w:cs="Arial"/>
          <w:color w:val="000000" w:themeColor="text1"/>
          <w:lang w:eastAsia="en-US"/>
        </w:rPr>
        <w:t xml:space="preserve">dotychczasowa współpraca z jednostkami samorządu terytorialnego; rzetelność </w:t>
      </w:r>
      <w:r w:rsidRPr="00454B6E">
        <w:rPr>
          <w:rFonts w:eastAsiaTheme="minorHAnsi" w:cs="Arial"/>
          <w:color w:val="000000" w:themeColor="text1"/>
          <w:lang w:eastAsia="en-US"/>
        </w:rPr>
        <w:br/>
        <w:t>i terminowość oraz sposób rozliczenia otrzymanych na ten cel środków (ocena w skali 0-20 pkt).</w:t>
      </w:r>
    </w:p>
    <w:p w:rsidR="00475C43" w:rsidRPr="00454B6E" w:rsidRDefault="00475C43" w:rsidP="00475C43">
      <w:pPr>
        <w:tabs>
          <w:tab w:val="left" w:pos="0"/>
        </w:tabs>
        <w:spacing w:after="0" w:line="240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§ 15. Określone w ogłoszeniu o konkursie środki finansowe nie mogą być wydatkowane na finansowanie kosztów innych niż bezpośrednio dotyczących realizowanego zadania, np.:</w:t>
      </w:r>
    </w:p>
    <w:p w:rsidR="00475C43" w:rsidRPr="00454B6E" w:rsidRDefault="00475C43" w:rsidP="00475C43">
      <w:pPr>
        <w:numPr>
          <w:ilvl w:val="0"/>
          <w:numId w:val="5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działalność gospodarczą,</w:t>
      </w:r>
    </w:p>
    <w:p w:rsidR="00475C43" w:rsidRPr="00454B6E" w:rsidRDefault="00475C43" w:rsidP="00475C43">
      <w:pPr>
        <w:numPr>
          <w:ilvl w:val="0"/>
          <w:numId w:val="5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wynagrodzenia osób  niezwiązanych z realizacją zadania,</w:t>
      </w:r>
    </w:p>
    <w:p w:rsidR="00475C43" w:rsidRPr="00454B6E" w:rsidRDefault="00475C43" w:rsidP="00475C43">
      <w:pPr>
        <w:numPr>
          <w:ilvl w:val="0"/>
          <w:numId w:val="5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zobowiązania powstałe przed datą zawarcia umowy,</w:t>
      </w:r>
    </w:p>
    <w:p w:rsidR="00475C43" w:rsidRPr="00454B6E" w:rsidRDefault="00475C43" w:rsidP="00475C43">
      <w:pPr>
        <w:numPr>
          <w:ilvl w:val="0"/>
          <w:numId w:val="5"/>
        </w:numPr>
        <w:tabs>
          <w:tab w:val="left" w:pos="0"/>
        </w:tabs>
        <w:spacing w:after="16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pokrycie deficytu zrealizowanych wcześniej przedsięwzięć,</w:t>
      </w:r>
    </w:p>
    <w:p w:rsidR="00475C43" w:rsidRPr="00454B6E" w:rsidRDefault="00475C43" w:rsidP="00475C43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działalność polityczną i partyjną.</w:t>
      </w:r>
    </w:p>
    <w:p w:rsidR="00475C43" w:rsidRPr="00454B6E" w:rsidRDefault="00475C43" w:rsidP="00475C43">
      <w:pPr>
        <w:tabs>
          <w:tab w:val="left" w:pos="0"/>
        </w:tabs>
        <w:spacing w:after="0" w:line="259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§ 16. Członkowie Komisji oceniają oferty wpisując oceny w „kartę oceny wniosku”, którego wzór stanowi załącznik do niniejszego Regulaminu.</w:t>
      </w:r>
    </w:p>
    <w:p w:rsidR="00475C43" w:rsidRPr="00454B6E" w:rsidRDefault="00475C43" w:rsidP="00475C43">
      <w:pPr>
        <w:tabs>
          <w:tab w:val="left" w:pos="0"/>
        </w:tabs>
        <w:spacing w:after="0" w:line="259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§ 17. Wynik dla poszczególnych ofert jest ustalany po zsumowaniu punktów za każde kryterium.</w:t>
      </w:r>
    </w:p>
    <w:p w:rsidR="00475C43" w:rsidRPr="00454B6E" w:rsidRDefault="00475C43" w:rsidP="00475C43">
      <w:pPr>
        <w:tabs>
          <w:tab w:val="left" w:pos="0"/>
        </w:tabs>
        <w:spacing w:after="0" w:line="259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>§ 18. Oferty, które uzyskają z powodów merytorycznych mniej niż 75 punktów zostaną odrzucone.</w:t>
      </w:r>
    </w:p>
    <w:p w:rsidR="00475C43" w:rsidRPr="00454B6E" w:rsidRDefault="00475C43" w:rsidP="00475C43">
      <w:pPr>
        <w:tabs>
          <w:tab w:val="left" w:pos="0"/>
        </w:tabs>
        <w:spacing w:after="0" w:line="259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t xml:space="preserve">§  19. Komisja Konkursowa  przedkłada Prezydentowi Miasta Piotrkowa Trybunalskiego protokół wraz </w:t>
      </w:r>
      <w:r w:rsidRPr="00454B6E">
        <w:rPr>
          <w:rFonts w:eastAsiaTheme="minorHAnsi" w:cs="Arial"/>
          <w:lang w:eastAsia="en-US"/>
        </w:rPr>
        <w:br/>
        <w:t xml:space="preserve">z wykazem wybranych oferentów do realizacji zadania określonego w ogłoszonym konkursie ofert. </w:t>
      </w:r>
    </w:p>
    <w:p w:rsidR="00475C43" w:rsidRPr="00454B6E" w:rsidRDefault="00475C43" w:rsidP="00475C43">
      <w:pPr>
        <w:tabs>
          <w:tab w:val="left" w:pos="0"/>
        </w:tabs>
        <w:spacing w:after="0" w:line="240" w:lineRule="auto"/>
        <w:jc w:val="both"/>
        <w:rPr>
          <w:rFonts w:eastAsiaTheme="minorHAnsi" w:cs="Arial"/>
          <w:lang w:eastAsia="en-US"/>
        </w:rPr>
      </w:pPr>
      <w:r w:rsidRPr="00454B6E">
        <w:rPr>
          <w:rFonts w:eastAsiaTheme="minorHAnsi" w:cs="Arial"/>
          <w:lang w:eastAsia="en-US"/>
        </w:rPr>
        <w:lastRenderedPageBreak/>
        <w:t>§  20. Ostateczną decyzję o wyborze ofert i udzieleniu dotacji podejmuje Prezydent Miasta Piotrkowa Trybunalskiego w drodze ogłoszenia.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>§ 21. Referat Spraw Społecznych powiadamia pisemnie oferentów o wynikach konkursu.</w:t>
      </w:r>
    </w:p>
    <w:p w:rsidR="00475C43" w:rsidRPr="00454B6E" w:rsidRDefault="00475C43" w:rsidP="00475C43">
      <w:pPr>
        <w:spacing w:after="0" w:line="240" w:lineRule="auto"/>
        <w:jc w:val="both"/>
        <w:rPr>
          <w:rFonts w:eastAsiaTheme="minorHAnsi" w:cs="Arial"/>
          <w:bCs/>
          <w:lang w:eastAsia="en-US"/>
        </w:rPr>
      </w:pPr>
      <w:r w:rsidRPr="00454B6E">
        <w:rPr>
          <w:rFonts w:eastAsiaTheme="minorHAnsi" w:cs="Arial"/>
          <w:bCs/>
          <w:lang w:eastAsia="en-US"/>
        </w:rPr>
        <w:t xml:space="preserve">§ 22. Wyniki otwartego konkursu ofert niezwłocznie po wybraniu oferty ogłasza się w Biuletynie Informacji Publicznej, w siedzibie Urzędu Miasta Piotrkowa Trybunalskiego na tablicy ogłoszeń oraz na stronie internetowej Miasta Piotrkowa Trybunalskiego: </w:t>
      </w:r>
      <w:r w:rsidRPr="00454B6E">
        <w:rPr>
          <w:rFonts w:eastAsiaTheme="minorHAnsi"/>
          <w:lang w:eastAsia="en-US"/>
        </w:rPr>
        <w:t>www.piotrkow.pl</w:t>
      </w:r>
      <w:r w:rsidRPr="00454B6E">
        <w:rPr>
          <w:rFonts w:eastAsiaTheme="minorHAnsi"/>
          <w:color w:val="0563C1" w:themeColor="hyperlink"/>
          <w:lang w:eastAsia="en-US"/>
        </w:rPr>
        <w:t>.</w:t>
      </w:r>
    </w:p>
    <w:p w:rsidR="00475C43" w:rsidRPr="00454B6E" w:rsidRDefault="00475C43" w:rsidP="00475C43">
      <w:pPr>
        <w:spacing w:after="160" w:line="259" w:lineRule="auto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5C4F85" w:rsidRDefault="00475C43" w:rsidP="00475C4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5C4F85">
        <w:rPr>
          <w:rFonts w:ascii="Arial" w:hAnsi="Arial" w:cs="Arial"/>
          <w:sz w:val="22"/>
          <w:szCs w:val="22"/>
        </w:rPr>
        <w:t>Podpisał:</w:t>
      </w:r>
    </w:p>
    <w:p w:rsidR="00475C43" w:rsidRPr="005C4F85" w:rsidRDefault="00475C43" w:rsidP="00475C4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C4F85">
        <w:rPr>
          <w:rFonts w:ascii="Arial" w:hAnsi="Arial" w:cs="Arial"/>
          <w:sz w:val="22"/>
          <w:szCs w:val="22"/>
        </w:rPr>
        <w:t>Prezydent Miasta Piotrkowa Trybunalskiego</w:t>
      </w:r>
    </w:p>
    <w:p w:rsidR="00475C43" w:rsidRPr="005C4F85" w:rsidRDefault="00475C43" w:rsidP="00475C4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C4F85">
        <w:rPr>
          <w:rFonts w:ascii="Arial" w:hAnsi="Arial" w:cs="Arial"/>
          <w:sz w:val="22"/>
          <w:szCs w:val="22"/>
        </w:rPr>
        <w:t>Krzysztof Chojniak</w:t>
      </w:r>
    </w:p>
    <w:p w:rsidR="00475C43" w:rsidRPr="005C4F85" w:rsidRDefault="00475C43" w:rsidP="00475C4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C4F85">
        <w:rPr>
          <w:rFonts w:ascii="Arial" w:hAnsi="Arial" w:cs="Arial"/>
          <w:sz w:val="22"/>
          <w:szCs w:val="22"/>
        </w:rPr>
        <w:t>dokument został podpisany</w:t>
      </w:r>
    </w:p>
    <w:p w:rsidR="00475C43" w:rsidRPr="005C4F85" w:rsidRDefault="00475C43" w:rsidP="00475C43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 w:rsidRPr="005C4F85">
        <w:rPr>
          <w:rFonts w:ascii="Arial" w:hAnsi="Arial" w:cs="Arial"/>
          <w:sz w:val="22"/>
          <w:szCs w:val="22"/>
        </w:rPr>
        <w:t>kwalifikowanym podpisem elektronicznym</w:t>
      </w:r>
    </w:p>
    <w:bookmarkEnd w:id="0"/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Default="00475C43" w:rsidP="00475C43">
      <w:pPr>
        <w:spacing w:after="160" w:line="259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rPr>
          <w:rFonts w:eastAsiaTheme="minorHAnsi" w:cs="Arial"/>
          <w:sz w:val="24"/>
          <w:szCs w:val="24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p w:rsidR="00475C43" w:rsidRPr="00454B6E" w:rsidRDefault="00475C43" w:rsidP="00475C43">
      <w:pPr>
        <w:spacing w:after="160" w:line="240" w:lineRule="auto"/>
        <w:jc w:val="right"/>
        <w:rPr>
          <w:rFonts w:eastAsiaTheme="minorHAnsi" w:cs="Arial"/>
          <w:sz w:val="20"/>
          <w:szCs w:val="20"/>
          <w:lang w:eastAsia="en-US"/>
        </w:rPr>
      </w:pPr>
    </w:p>
    <w:sectPr w:rsidR="00475C43" w:rsidRPr="00454B6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5C48"/>
    <w:multiLevelType w:val="hybridMultilevel"/>
    <w:tmpl w:val="FEC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DDD"/>
    <w:multiLevelType w:val="hybridMultilevel"/>
    <w:tmpl w:val="F8B022E4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B86"/>
    <w:multiLevelType w:val="hybridMultilevel"/>
    <w:tmpl w:val="E00E0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CEF64490"/>
    <w:lvl w:ilvl="0" w:tplc="D65C1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0820"/>
    <w:multiLevelType w:val="hybridMultilevel"/>
    <w:tmpl w:val="E50A5592"/>
    <w:name w:val="WW8Num21822322222222222"/>
    <w:lvl w:ilvl="0" w:tplc="C89C9968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1"/>
    <w:rsid w:val="004218B1"/>
    <w:rsid w:val="00475C43"/>
    <w:rsid w:val="005C4F85"/>
    <w:rsid w:val="00986AFD"/>
    <w:rsid w:val="009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0D29-74B9-4EA9-A29C-E4D8B02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Chmielewska Katarzyna</cp:lastModifiedBy>
  <cp:revision>3</cp:revision>
  <dcterms:created xsi:type="dcterms:W3CDTF">2021-06-18T13:15:00Z</dcterms:created>
  <dcterms:modified xsi:type="dcterms:W3CDTF">2021-06-18T13:20:00Z</dcterms:modified>
</cp:coreProperties>
</file>