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BB7CC9" w14:textId="77777777" w:rsidR="00A77B3E" w:rsidRDefault="004C7BC3">
      <w:pPr>
        <w:jc w:val="center"/>
        <w:rPr>
          <w:b/>
          <w:caps/>
        </w:rPr>
      </w:pPr>
      <w:bookmarkStart w:id="0" w:name="_GoBack"/>
      <w:bookmarkEnd w:id="0"/>
      <w:r>
        <w:rPr>
          <w:b/>
          <w:caps/>
        </w:rPr>
        <w:t>Uchwała Nr XXXVI/491/21</w:t>
      </w:r>
      <w:r>
        <w:rPr>
          <w:b/>
          <w:caps/>
        </w:rPr>
        <w:br/>
        <w:t>Rady Miasta Piotrkowa Trybunalskiego</w:t>
      </w:r>
    </w:p>
    <w:p w14:paraId="7AAF14E4" w14:textId="77777777" w:rsidR="00A77B3E" w:rsidRDefault="004C7BC3">
      <w:pPr>
        <w:spacing w:before="280" w:after="280"/>
        <w:jc w:val="center"/>
        <w:rPr>
          <w:b/>
          <w:caps/>
        </w:rPr>
      </w:pPr>
      <w:r>
        <w:t>z dnia 26 maja 2021 r.</w:t>
      </w:r>
    </w:p>
    <w:p w14:paraId="29C161FF" w14:textId="77777777" w:rsidR="00A77B3E" w:rsidRDefault="004C7BC3">
      <w:pPr>
        <w:keepNext/>
        <w:spacing w:after="480"/>
        <w:jc w:val="center"/>
      </w:pPr>
      <w:r>
        <w:rPr>
          <w:b/>
        </w:rPr>
        <w:t>w sprawie miejscowego planu zagospodarowania przestrzennego w rejonie ulic</w:t>
      </w:r>
      <w:r>
        <w:rPr>
          <w:b/>
        </w:rPr>
        <w:br/>
        <w:t>Bosmańskiej i Kajakowej w Piotrkowie Trybunalskim</w:t>
      </w:r>
    </w:p>
    <w:p w14:paraId="7AD92E27" w14:textId="77777777" w:rsidR="00A77B3E" w:rsidRDefault="004C7BC3">
      <w:pPr>
        <w:keepLines/>
        <w:spacing w:before="120" w:after="120"/>
        <w:ind w:firstLine="227"/>
      </w:pPr>
      <w:r>
        <w:t>Na podstawie art. 20 ust. 1 i art. 29 ustawy z dnia 27 marca 2003 r. o planowaniu i zagospodarowaniu przestrzennym (t.j. Dz. U. z 2021 r. poz. 741, 784), uchwala się co następuje:</w:t>
      </w:r>
    </w:p>
    <w:p w14:paraId="78CC890C" w14:textId="77777777" w:rsidR="00A77B3E" w:rsidRDefault="004C7BC3">
      <w:pPr>
        <w:keepNext/>
        <w:keepLines/>
        <w:jc w:val="center"/>
      </w:pPr>
      <w:r>
        <w:rPr>
          <w:b/>
          <w:caps/>
        </w:rPr>
        <w:t>Dział I.</w:t>
      </w:r>
      <w:r>
        <w:br/>
      </w:r>
      <w:r>
        <w:rPr>
          <w:b/>
        </w:rPr>
        <w:t>POSTANOWIENIA OGÓLNE</w:t>
      </w:r>
    </w:p>
    <w:p w14:paraId="59B28D5D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1. </w:t>
      </w:r>
      <w:r>
        <w:t>1. Stwierdza się, że miejscowy plan zagospodarowania przestrzennego w rejonie ulic Bosmańskiej i Kajakowej w Piotrkowie Trybunalskim, nie narusza ustaleń obowiązującego „Studium uwarunkowań i kierunków zagospodarowania przestrzennego miasta Piotrkowa Trybunalskiego” przyjętego Uchwałą Nr XLIX/837/06 Rady Miasta Piotrkowa Trybunalskiego z dnia 29 marca 2006 roku z późniejszymi zmianami przyjętymi Uchwałą Nr XIV/297/11 Rady Miasta Piotrkowa Trybunalskiego z dnia 30 listopada 2011 roku, Uchwałą Nr XXVII/359/16 z dnia 26 października 2016 roku i Uchwałą Nr XLVII/566/17 z dnia 25 października 2017 roku.</w:t>
      </w:r>
    </w:p>
    <w:p w14:paraId="31E61A4D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Uchwala się miejscowy plan zagospodarowania przestrzennego w rejonie ulic Bosmańskiej i Kajakowej w Piotrkowie Trybunalskim w granicach określonych w Uchwale Nr XXIII/342/20 Rady Miasta Piotrkowa Trybunalskiego z dnia 24 czerwca 2020 roku w sprawie przystąpienia do sporządzenia miejscowego planu zagospodarowania przestrzennego w rejonie ulic Bosmańskiej i Kajakowej w Piotrkowie Trybunalskim, zwany dalej „planem”.</w:t>
      </w:r>
    </w:p>
    <w:p w14:paraId="638BDCEE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Granice obszaru objętego planem wyznaczone są na rysunku planu.</w:t>
      </w:r>
    </w:p>
    <w:p w14:paraId="07A771F4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Integralną częścią Uchwały są:</w:t>
      </w:r>
    </w:p>
    <w:p w14:paraId="3DCB48CD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rysunki planu, stanowiące załącznik Nr 1 i Nr 2 do niniejszej uchwały;</w:t>
      </w:r>
    </w:p>
    <w:p w14:paraId="3AB4ABED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2) </w:t>
      </w:r>
      <w:r>
        <w:rPr>
          <w:color w:val="000000"/>
          <w:u w:color="000000"/>
        </w:rPr>
        <w:t>rozstrzygnięcie dotyczące sposobu rozpatrzenia uwag zgłoszonych do projektu planu, stanowiące załącznik Nr 3 do niniejszej uchwały;</w:t>
      </w:r>
    </w:p>
    <w:p w14:paraId="40347991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rozstrzygnięcie dotyczące sposobu realizacji, zapisanych w planie, inwestycji z zakresu infrastruktury technicznej, które należą do zadań własnych gminy oraz zasad ich finansowania, zgodnie z przepisami ustawy o finansach publicznych, stanowiące załącznik Nr 4 do niniejszej uchwały;</w:t>
      </w:r>
    </w:p>
    <w:p w14:paraId="38287AAE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dane przestrzenne, stanowiące załącznik Nr 5 do niniejszej uchwały.</w:t>
      </w:r>
    </w:p>
    <w:p w14:paraId="03F7383C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Przedmiotem ustaleń planu są:</w:t>
      </w:r>
    </w:p>
    <w:p w14:paraId="3E35132A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tereny zabudowy mieszkaniowej jednorodzinnej – oznaczone na rysunku planu symbolem MN;</w:t>
      </w:r>
    </w:p>
    <w:p w14:paraId="152D0309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tereny zieleni urządzonej – oznaczone na rysunku planu symbolem ZU;</w:t>
      </w:r>
    </w:p>
    <w:p w14:paraId="7ADA1C66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tereny dróg publicznych – droga lokalna, oznaczone na rysunku planu symbolem KDL;</w:t>
      </w:r>
    </w:p>
    <w:p w14:paraId="1C8074BC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tereny dróg publicznych – droga dojazdowa, oznaczone na rysunku planu symbolem KDD.</w:t>
      </w:r>
    </w:p>
    <w:p w14:paraId="070B178F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Rysunek planu zawiera oznaczenia obowiązujące i informacyjne, zgodnie z legendą oznaczeń zamieszczoną na rysunku planu.</w:t>
      </w:r>
    </w:p>
    <w:p w14:paraId="4F937275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t>7. </w:t>
      </w:r>
      <w:r>
        <w:rPr>
          <w:color w:val="000000"/>
          <w:u w:color="000000"/>
        </w:rPr>
        <w:t>Położenie linii rozgraniczających i linii zabudowy w miejscach, które nie zostały zwymiarowane na rysunku planu należy ustalać poprzez odczyt rysunku planu w oparciu o jego skalę.</w:t>
      </w:r>
    </w:p>
    <w:p w14:paraId="669AE478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t>1. </w:t>
      </w:r>
      <w:r>
        <w:rPr>
          <w:color w:val="000000"/>
          <w:u w:color="000000"/>
        </w:rPr>
        <w:t>Następujące oznaczenia graficzne na rysunku planu są obowiązującymi ustaleniami planu:</w:t>
      </w:r>
    </w:p>
    <w:p w14:paraId="5F3BB3FF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granica obszaru objętego miejscowym planem zagospodarowania przestrzennego;</w:t>
      </w:r>
    </w:p>
    <w:p w14:paraId="107526C4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linie rozgraniczające tereny o różnym przeznaczeniu lub różnych zasadach zagospodarowania;</w:t>
      </w:r>
    </w:p>
    <w:p w14:paraId="795CDA9B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nieprzekraczalna linia zabudowy;</w:t>
      </w:r>
    </w:p>
    <w:p w14:paraId="7A3B6F5B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tereny zabudowy mieszkaniowej jednorodzinnej;</w:t>
      </w:r>
    </w:p>
    <w:p w14:paraId="552BEA6C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5) </w:t>
      </w:r>
      <w:r>
        <w:rPr>
          <w:color w:val="000000"/>
          <w:u w:color="000000"/>
        </w:rPr>
        <w:t>tereny zieleni urządzonej;</w:t>
      </w:r>
    </w:p>
    <w:p w14:paraId="10CD0E86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tereny dróg publicznych – droga lokalna;</w:t>
      </w:r>
    </w:p>
    <w:p w14:paraId="25B2E3A1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tereny dróg publicznych – droga dojazdowa.</w:t>
      </w:r>
    </w:p>
    <w:p w14:paraId="5AD34CC3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Pozostałe oznaczenia graficzne na rysunku planu nie wymienione w ust. 1 są oznaczeniami informacyjnymi.</w:t>
      </w:r>
    </w:p>
    <w:p w14:paraId="7734B44C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rPr>
          <w:color w:val="000000"/>
          <w:u w:color="000000"/>
        </w:rPr>
        <w:t>Ilekroć w przepisach niniejszej uchwały jest mowa o:</w:t>
      </w:r>
    </w:p>
    <w:p w14:paraId="3BF5B12F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b/>
          <w:color w:val="000000"/>
          <w:u w:color="000000"/>
        </w:rPr>
        <w:t>linii rozgraniczającej tereny o różnym przeznaczeniu lub różnych zasadach zagospodarowania</w:t>
      </w:r>
      <w:r>
        <w:rPr>
          <w:color w:val="000000"/>
          <w:u w:color="000000"/>
        </w:rPr>
        <w:t xml:space="preserve"> – należy przez to rozumieć oznaczoną na rysunku planu linię ciągłą, dzielącą obszar na części o różnym przeznaczeniu lub różnych zasadach zagospodarowania;</w:t>
      </w:r>
    </w:p>
    <w:p w14:paraId="5B9B2F5D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b/>
          <w:color w:val="000000"/>
          <w:u w:color="000000"/>
        </w:rPr>
        <w:t>nieprzekraczalnej linii zabudowy</w:t>
      </w:r>
      <w:r>
        <w:rPr>
          <w:color w:val="000000"/>
          <w:u w:color="000000"/>
        </w:rPr>
        <w:t xml:space="preserve"> – należy przez to rozumieć oznaczoną na rysunku planu linię graniczną sytuowania nadziemnych kondygnacji budynków, altan i wiat; dopuszcza się przekroczenie tej linii o elementy wystroju architektonicznego, elementy ustrojów na stałe związanych z konstrukcją budynku na odległość do 1,0 m;</w:t>
      </w:r>
    </w:p>
    <w:p w14:paraId="6B74F413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b/>
          <w:color w:val="000000"/>
          <w:u w:color="000000"/>
        </w:rPr>
        <w:t>obszarze planu</w:t>
      </w:r>
      <w:r>
        <w:rPr>
          <w:color w:val="000000"/>
          <w:u w:color="000000"/>
        </w:rPr>
        <w:t xml:space="preserve"> – należy przez to rozumieć obszar objęty planem w granicach przedstawionych na rysunku planu;</w:t>
      </w:r>
    </w:p>
    <w:p w14:paraId="00C46F52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b/>
          <w:color w:val="000000"/>
          <w:u w:color="000000"/>
        </w:rPr>
        <w:t>powierzchni zabudowy</w:t>
      </w:r>
      <w:r>
        <w:rPr>
          <w:color w:val="000000"/>
          <w:u w:color="000000"/>
        </w:rPr>
        <w:t xml:space="preserve"> – należy przez to rozumieć powierzchnię działki budowlanej zajętą przez rzuty poziome wszystkich budynków w ich obrysach zewnętrznych, przy czym do powierzchni zabudowy nie wlicza się powierzchni elementów takich jak: schody i pochylnie zewnętrzne, tarasy naziemne, rampy zewnętrzne, daszki, okapy dachowe, występy dachowe, podziemne części budynków, studzienki piwniczne, powierzchnie pod daszkami ochronnymi;</w:t>
      </w:r>
    </w:p>
    <w:p w14:paraId="0AEF5E5B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b/>
          <w:color w:val="000000"/>
          <w:u w:color="000000"/>
        </w:rPr>
        <w:t>rysunku planu</w:t>
      </w:r>
      <w:r>
        <w:rPr>
          <w:color w:val="000000"/>
          <w:u w:color="000000"/>
        </w:rPr>
        <w:t xml:space="preserve"> – należy przez to rozumieć opracowania graficzne sporządzone na urzędowej kopii mapy zasadniczej, pochodzącej z państwowego zasobu geodezyjnego i kartograficznego w skali 1:1000;</w:t>
      </w:r>
    </w:p>
    <w:p w14:paraId="1C037A11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6) </w:t>
      </w:r>
      <w:r>
        <w:rPr>
          <w:b/>
          <w:color w:val="000000"/>
          <w:u w:color="000000"/>
        </w:rPr>
        <w:t>terenie</w:t>
      </w:r>
      <w:r>
        <w:rPr>
          <w:color w:val="000000"/>
          <w:u w:color="000000"/>
        </w:rPr>
        <w:t xml:space="preserve"> – należy przez to rozumieć teren wyznaczony na rysunku planu liniami rozgraniczającymi tereny o różnym przeznaczeniu lub różnych zasadach zagospodarowania oraz oznaczony symbolami cyfrowymi i literowymi, z których cyfry oznaczają kolejny numer terenu, a litery jego przeznaczenie;</w:t>
      </w:r>
    </w:p>
    <w:p w14:paraId="4C6E9536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b/>
          <w:color w:val="000000"/>
          <w:u w:color="000000"/>
        </w:rPr>
        <w:t xml:space="preserve">powierzchni biologicznie czynnej </w:t>
      </w:r>
      <w:r>
        <w:rPr>
          <w:color w:val="000000"/>
          <w:u w:color="000000"/>
        </w:rPr>
        <w:t>– należy przez to rozumieć teren biologicznie czynny w rozumieniu przepisów odrębnych;</w:t>
      </w:r>
    </w:p>
    <w:p w14:paraId="495F0F32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b/>
          <w:color w:val="000000"/>
          <w:u w:color="000000"/>
        </w:rPr>
        <w:t xml:space="preserve">wskaźniku intensywności zabudowy </w:t>
      </w:r>
      <w:r>
        <w:rPr>
          <w:color w:val="000000"/>
          <w:u w:color="000000"/>
        </w:rPr>
        <w:t>– należy przez to rozumieć stosunek sumy powierzchni całkowitych (wszystkich kondygnacji nadziemnych) wszystkich budynków położonych na działce budowalnej do powierzchni działki budowlanej;</w:t>
      </w:r>
    </w:p>
    <w:p w14:paraId="5ED6D9C3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b/>
          <w:color w:val="000000"/>
          <w:u w:color="000000"/>
        </w:rPr>
        <w:t xml:space="preserve">wysokości zabudowy </w:t>
      </w:r>
      <w:r>
        <w:rPr>
          <w:color w:val="000000"/>
          <w:u w:color="000000"/>
        </w:rPr>
        <w:t>– należy przez to rozumieć ustalony w planie nieprzekraczalny maksymalny pionowy wymiar obiektu budowlanego, liczony w metrach, od najniższego  poziomu terenu, na którym posadowiony jest obiekt budowlany do najwyższego jego punktu;</w:t>
      </w:r>
    </w:p>
    <w:p w14:paraId="736CFD8E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b/>
          <w:color w:val="000000"/>
          <w:u w:color="000000"/>
        </w:rPr>
        <w:t>dachu płaskim</w:t>
      </w:r>
      <w:r>
        <w:rPr>
          <w:color w:val="000000"/>
          <w:u w:color="000000"/>
        </w:rPr>
        <w:t xml:space="preserve"> – należy przez to rozumieć dach o kącie nachylenia połaci do 10</w:t>
      </w:r>
      <w:r>
        <w:rPr>
          <w:color w:val="000000"/>
          <w:u w:color="000000"/>
          <w:vertAlign w:val="superscript"/>
        </w:rPr>
        <w:t>o</w:t>
      </w:r>
      <w:r>
        <w:rPr>
          <w:color w:val="000000"/>
          <w:u w:color="000000"/>
        </w:rPr>
        <w:t>.</w:t>
      </w:r>
    </w:p>
    <w:p w14:paraId="37482A1F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4. </w:t>
      </w:r>
      <w:r>
        <w:rPr>
          <w:color w:val="000000"/>
          <w:u w:color="000000"/>
        </w:rPr>
        <w:t>Dla obszaru, o którym mowa w §1, plan ustala:</w:t>
      </w:r>
    </w:p>
    <w:p w14:paraId="6684B2B6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terenów oraz linie rozgraniczające tereny o różnym przeznaczeniu lub różnych zasadach zagospodarowania;</w:t>
      </w:r>
    </w:p>
    <w:p w14:paraId="0BC8ECF4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zasady ochrony i kształtowania ładu przestrzennego;</w:t>
      </w:r>
    </w:p>
    <w:p w14:paraId="3636F148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zasady ochrony środowiska i przyrody;</w:t>
      </w:r>
    </w:p>
    <w:p w14:paraId="74D32A2D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zasady kształtowania zabudowy oraz wskaźniki zagospodarowania terenu:</w:t>
      </w:r>
    </w:p>
    <w:p w14:paraId="6405E413" w14:textId="77777777" w:rsidR="00A77B3E" w:rsidRDefault="004C7BC3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maksymalną i minimalną intensywność zabudowy, jako wskaźnik powierzchni całkowitej zabudowy w odniesieniu do powierzchni działki budowlanej,</w:t>
      </w:r>
    </w:p>
    <w:p w14:paraId="510BA41D" w14:textId="77777777" w:rsidR="00A77B3E" w:rsidRDefault="004C7BC3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minimalny udział procentowy powierzchni biologicznie czynnej w odniesieniu do powierzchni działki budowlanej,</w:t>
      </w:r>
    </w:p>
    <w:p w14:paraId="46A3C600" w14:textId="77777777" w:rsidR="00A77B3E" w:rsidRDefault="004C7BC3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maksymalną wysokość zabudowy,</w:t>
      </w:r>
    </w:p>
    <w:p w14:paraId="13EFC332" w14:textId="77777777" w:rsidR="00A77B3E" w:rsidRDefault="004C7BC3">
      <w:pPr>
        <w:keepLines/>
        <w:spacing w:before="120" w:after="120"/>
        <w:ind w:left="567" w:hanging="227"/>
        <w:rPr>
          <w:color w:val="000000"/>
          <w:u w:color="000000"/>
        </w:rPr>
      </w:pPr>
      <w:r>
        <w:lastRenderedPageBreak/>
        <w:t>d) </w:t>
      </w:r>
      <w:r>
        <w:rPr>
          <w:color w:val="000000"/>
          <w:u w:color="000000"/>
        </w:rPr>
        <w:t>minimalną liczbę miejsc do parkowania (mp), w tym miejsca przeznaczone na parkowanie pojazdów zaopatrzonych w kartę parkingową i sposób ich realizacji,</w:t>
      </w:r>
    </w:p>
    <w:p w14:paraId="70201CCB" w14:textId="77777777" w:rsidR="00A77B3E" w:rsidRDefault="004C7BC3">
      <w:pPr>
        <w:keepLines/>
        <w:spacing w:before="120" w:after="120"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linie zabudowy i gabaryty obiektów;</w:t>
      </w:r>
    </w:p>
    <w:p w14:paraId="1AFD8A77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szczegółowe zasady i warunki scalenia i podziału nieruchomości objętych planem miejscowym;</w:t>
      </w:r>
    </w:p>
    <w:p w14:paraId="0BB5AE4E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minimalną powierzchnię nowo wydzielonych działek budowlanych;</w:t>
      </w:r>
    </w:p>
    <w:p w14:paraId="53ECAD38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szczególne warunki zagospodarowania terenów oraz ograniczenia w ich użytkowaniu, w tym zakaz zabudowy;</w:t>
      </w:r>
    </w:p>
    <w:p w14:paraId="39BE10BD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zasady modernizacji, przebudowy, rozbudowy i budowy systemu komunikacji i infrastruktury technicznej;</w:t>
      </w:r>
    </w:p>
    <w:p w14:paraId="4B9502DE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sposoby i terminy tymczasowego zagospodarowania, urządzania i użytkowania terenów;</w:t>
      </w:r>
    </w:p>
    <w:p w14:paraId="2E9BE12E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stawki procentowe, na podstawie których ustala się opłatę od wzrostu wartości nieruchomości w związku z uchwaleniem planu.</w:t>
      </w:r>
    </w:p>
    <w:p w14:paraId="2D1A7615" w14:textId="77777777" w:rsidR="00A77B3E" w:rsidRDefault="004C7BC3">
      <w:pPr>
        <w:keepNext/>
        <w:jc w:val="center"/>
        <w:rPr>
          <w:color w:val="000000"/>
          <w:u w:color="000000"/>
        </w:rPr>
      </w:pPr>
      <w:r>
        <w:rPr>
          <w:b/>
          <w:caps/>
        </w:rPr>
        <w:t>Dział II.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DLA CAŁEGO OBSZARU OBJĘTEGO PLANEM</w:t>
      </w:r>
    </w:p>
    <w:p w14:paraId="6B30CB55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5. </w:t>
      </w:r>
      <w:r>
        <w:t>1. </w:t>
      </w:r>
      <w:r>
        <w:rPr>
          <w:color w:val="000000"/>
          <w:u w:color="000000"/>
        </w:rPr>
        <w:t>Zasady ochrony i kształtowania ładu przestrzennego:</w:t>
      </w:r>
    </w:p>
    <w:p w14:paraId="49F57590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przy rozbudowie, nadbudowie, przebudowie i zmianie sposobu użytkowania obiektów budowalnych, obowiązują ustalenia szczegółowe dla poszczególnych terenów.</w:t>
      </w:r>
    </w:p>
    <w:p w14:paraId="68ABEE8D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środowiska, przyrody i krajobrazu:</w:t>
      </w:r>
    </w:p>
    <w:p w14:paraId="26EB7DE0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realizacji przedsięwzięć mogących zawsze znacząco i potencjalnie znacząco oddziaływać na środowisko, z wyjątkiem inwestycji celu publicznego z zakresu telekomunikacji i infrastruktury drogowej i technicznej;</w:t>
      </w:r>
    </w:p>
    <w:p w14:paraId="3348CE5F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obowiązkowi zachowania poziomu hałasu w środowisku określonego w obowiązujących przepisach o ochronie środowiska podlegają:</w:t>
      </w:r>
    </w:p>
    <w:p w14:paraId="0B21DDBE" w14:textId="77777777" w:rsidR="00A77B3E" w:rsidRDefault="004C7BC3">
      <w:pPr>
        <w:keepLines/>
        <w:spacing w:before="120" w:after="120"/>
        <w:ind w:left="567" w:hanging="227"/>
        <w:rPr>
          <w:color w:val="000000"/>
          <w:u w:color="000000"/>
        </w:rPr>
      </w:pPr>
      <w:r>
        <w:lastRenderedPageBreak/>
        <w:t>a) </w:t>
      </w:r>
      <w:r>
        <w:rPr>
          <w:color w:val="000000"/>
          <w:u w:color="000000"/>
        </w:rPr>
        <w:t>tereny oznaczone symbolem MN – jak dla terenów zabudowy mieszkaniowej jednorodzinnej,</w:t>
      </w:r>
    </w:p>
    <w:p w14:paraId="2D448396" w14:textId="77777777" w:rsidR="00A77B3E" w:rsidRDefault="004C7BC3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tereny oznaczone symbolem ZU – jak dla terenów rekreacyjno – wypoczynkowych,</w:t>
      </w:r>
    </w:p>
    <w:p w14:paraId="3878E8DC" w14:textId="77777777" w:rsidR="00A77B3E" w:rsidRDefault="004C7BC3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pozostałe tereny nie są normowane akustycznie.</w:t>
      </w:r>
    </w:p>
    <w:p w14:paraId="118A11D2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ochrony dziedzictwa kulturowego i zabytków oraz dóbr kultury współczesnej:</w:t>
      </w:r>
    </w:p>
    <w:p w14:paraId="78DA6D38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na obszarze planu nie występują obiekty dziedzictwa kulturowego i zabytków oraz dóbr kultury współczesnej, wobec czego plan nie ustala wymagań w tym zakresie.</w:t>
      </w:r>
    </w:p>
    <w:p w14:paraId="6E9CE591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Wymagania wynikające z kształtowania przestrzeni publicznych:</w:t>
      </w:r>
    </w:p>
    <w:p w14:paraId="141FDEFE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do przestrzeni publicznych zalicza się:</w:t>
      </w:r>
    </w:p>
    <w:p w14:paraId="25BA7EBB" w14:textId="77777777" w:rsidR="00A77B3E" w:rsidRDefault="004C7BC3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tereny dróg publicznych oznaczone na rysunku planu symbolami 1KDL, 1KDD i 2KDD,</w:t>
      </w:r>
    </w:p>
    <w:p w14:paraId="7E9C9835" w14:textId="77777777" w:rsidR="00A77B3E" w:rsidRDefault="004C7BC3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 zieleni urządzonej oznaczony na rysunku planu symbolami 1ZU;</w:t>
      </w:r>
    </w:p>
    <w:p w14:paraId="58882602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przestrzeni publicznych ustala się stosowanie jednorodnych nawierzchni dla ciągów pieszych i chodników, przy czym zakazuje się stosowania na nich asfaltów jako nawierzchni;</w:t>
      </w:r>
    </w:p>
    <w:p w14:paraId="7A270532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plan nie wyznacza obszarów przestrzeni publicznych.</w:t>
      </w:r>
    </w:p>
    <w:p w14:paraId="45FF53A3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Granice i sposoby zagospodarowania terenów lub obiektów podlegających ochronie, ustalonych na podstawie odrębnych przepisów, w tym terenów górniczych, a także narażonych na niebezpieczeństwo powodzi oraz zagrożonych osuwaniem się mas ziemnych:</w:t>
      </w:r>
    </w:p>
    <w:p w14:paraId="6F387372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obszar objęty planem nie leży na terenach górniczych, wobec czego plan nie nakłada wymagań w tym zakresie;</w:t>
      </w:r>
    </w:p>
    <w:p w14:paraId="63B1D772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obszar objęty planem nie jest narażony na niebezpieczeństwo powodzi, wobec czego plan nie nakłada wymagań w tym zakresie;</w:t>
      </w:r>
    </w:p>
    <w:p w14:paraId="38A31425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3) </w:t>
      </w:r>
      <w:r>
        <w:rPr>
          <w:color w:val="000000"/>
          <w:u w:color="000000"/>
        </w:rPr>
        <w:t>na obszarze objętym planem nie występują zjawiska związane z osuwaniem się mas ziemnych, wobec czego plan nie nakłada wymagań w tym zakresie.</w:t>
      </w:r>
    </w:p>
    <w:p w14:paraId="6348A036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Szczególne warunki zagospodarowania terenów oraz ograniczenia w ich użytkowaniu, w tym zakaz zabudowy:</w:t>
      </w:r>
    </w:p>
    <w:p w14:paraId="74373079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ze względu na prawidłowość funkcjonowania lotniska Piotrków Trybunalski, na obszarze objętym miejscowym planem zagospodarowania przestrzennego obowiązują bezwzględne ograniczenia wysokości obiektów budowlanych i naturalnych, zgodnie z przepisami odrębnymi – ograniczenia wysokości obejmują również wszystkie urządzenia umieszczone na obiektach budowlanych. Ponadto zabrania się budowy i rozbudowy obiektów budowlanych, które mogą stanowić źródło żerowania ptaków.</w:t>
      </w:r>
    </w:p>
    <w:p w14:paraId="044B91A4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t>7. </w:t>
      </w:r>
      <w:r>
        <w:rPr>
          <w:color w:val="000000"/>
          <w:u w:color="000000"/>
        </w:rPr>
        <w:t>Zasady przebudowy (modernizacji), rozbudowy i budowy infrastruktury technicznej:</w:t>
      </w:r>
    </w:p>
    <w:p w14:paraId="621EE178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powiązanie istniejących i projektowanych sieci infrastruktury technicznej obszaru planu z układem sieci miejskich realizowane poprzez ich rozbudowę;</w:t>
      </w:r>
    </w:p>
    <w:p w14:paraId="55BCAED4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przebudowę i budowę sieci i urządzeń infrastruktury technicznej;</w:t>
      </w:r>
    </w:p>
    <w:p w14:paraId="428BECFB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zakaz lokalizacji instalacji wykorzystujących siłę wiatru;</w:t>
      </w:r>
    </w:p>
    <w:p w14:paraId="0D0F3D97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zakaz lokalizacji urządzeń wytwarzających energię z odnawialnych źródeł energii o mocy przekraczającej moc mikroinstalacji;</w:t>
      </w:r>
    </w:p>
    <w:p w14:paraId="1CBA8C9E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zakaz lokalizacji urządzeń wytwarzających energię z odnawialnych źródeł energii o mocy przekraczającej 100 kW.</w:t>
      </w:r>
    </w:p>
    <w:p w14:paraId="3BB15D2B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t>8. </w:t>
      </w:r>
      <w:r>
        <w:rPr>
          <w:color w:val="000000"/>
          <w:u w:color="000000"/>
        </w:rPr>
        <w:t>Ustala się następujące zasady zagospodarowania i wyposażenia terenów w zakresie obronności i w sytuacjach kryzysowych:</w:t>
      </w:r>
    </w:p>
    <w:p w14:paraId="1E50174F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zaopatrzenie w wodę, gaz, energię elektryczną i cieplną, winno następować równolegle z powstającą zabudową;</w:t>
      </w:r>
    </w:p>
    <w:p w14:paraId="019AFFA1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obowiązek zapewnienia wykorzystania dróg publicznych i terenów zieleni urządzonej do celów p. poż., dla sprzętu ratowniczego i w sytuacjach kryzysowych;</w:t>
      </w:r>
    </w:p>
    <w:p w14:paraId="324D735E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3) </w:t>
      </w:r>
      <w:r>
        <w:rPr>
          <w:color w:val="000000"/>
          <w:u w:color="000000"/>
        </w:rPr>
        <w:t>ochrona przeciwpożarowa obiektów budowlanych poprzez hydranty lub zbiorniki przeciwpożarowe, montowane na sieci wodociągowej zgodnie z przepisami odrębnymi.</w:t>
      </w:r>
    </w:p>
    <w:p w14:paraId="604FB99C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t>9. </w:t>
      </w:r>
      <w:r>
        <w:rPr>
          <w:color w:val="000000"/>
          <w:u w:color="000000"/>
        </w:rPr>
        <w:t>Sposób i termin tymczasowego zagospodarowania, urządzania i użytkowania terenów:</w:t>
      </w:r>
    </w:p>
    <w:p w14:paraId="6D90808E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tereny oraz budynki i budowle na nich zlokalizowane mogą być użytkowane w sposób dotychczasowy, do czasu realizacji zagospodarowania terenu zgodnie z ustaleniami planu;</w:t>
      </w:r>
    </w:p>
    <w:p w14:paraId="5BA0B8E0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nie ustala się innego sposobu tymczasowego zagospodarowania aniżeli dotychczasowy.</w:t>
      </w:r>
    </w:p>
    <w:p w14:paraId="3FE15BCA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t>10. </w:t>
      </w:r>
      <w:r>
        <w:rPr>
          <w:color w:val="000000"/>
          <w:u w:color="000000"/>
        </w:rPr>
        <w:t>Szczegółowe zasady i warunki scalania i podziału nieruchomości:</w:t>
      </w:r>
    </w:p>
    <w:p w14:paraId="438B3C3C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warunki scalania i podziału nieruchomości określono w Dziale III.</w:t>
      </w:r>
    </w:p>
    <w:p w14:paraId="4F929A32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t>11. </w:t>
      </w:r>
      <w:r>
        <w:rPr>
          <w:color w:val="000000"/>
          <w:u w:color="000000"/>
        </w:rPr>
        <w:t>Ustala się następującą wysokość jednorazowej opłaty określoną w stosunku procentowym do wzrostu wartości nieruchomości - renta planistyczna, która wynosi:</w:t>
      </w:r>
    </w:p>
    <w:p w14:paraId="4632462F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10% dla terenów MN;</w:t>
      </w:r>
    </w:p>
    <w:p w14:paraId="11BB40A2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terenu zieleni urządzonej 1ZU oraz dla terenów dróg publicznych 1KDL, 1KDD i 2KDD zaliczanych do przestrzeni publicznych nie ustala się stawki procentowej.</w:t>
      </w:r>
    </w:p>
    <w:p w14:paraId="57AB4C3C" w14:textId="77777777" w:rsidR="00A77B3E" w:rsidRDefault="004C7BC3">
      <w:pPr>
        <w:keepNext/>
        <w:jc w:val="center"/>
        <w:rPr>
          <w:color w:val="000000"/>
          <w:u w:color="000000"/>
        </w:rPr>
      </w:pPr>
      <w:r>
        <w:rPr>
          <w:b/>
          <w:caps/>
        </w:rPr>
        <w:t>Dział III.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SZCZEGÓŁOWE DLA POSZCZEGÓLNYCH TERENÓW</w:t>
      </w:r>
    </w:p>
    <w:p w14:paraId="61987B47" w14:textId="77777777" w:rsidR="00A77B3E" w:rsidRDefault="004C7BC3">
      <w:pPr>
        <w:keepNext/>
        <w:jc w:val="center"/>
        <w:rPr>
          <w:color w:val="000000"/>
          <w:u w:color="000000"/>
        </w:rPr>
      </w:pPr>
      <w:r>
        <w:rPr>
          <w:b/>
        </w:rPr>
        <w:t>Rozdział 1.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dotyczące terenów zabudowy</w:t>
      </w:r>
    </w:p>
    <w:p w14:paraId="31BE38B2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6.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>1MN</w:t>
      </w:r>
      <w:r>
        <w:rPr>
          <w:color w:val="000000"/>
          <w:u w:color="000000"/>
        </w:rPr>
        <w:t xml:space="preserve"> – zabudowa mieszkaniowa jednorodzinna wolnostojąca.</w:t>
      </w:r>
    </w:p>
    <w:p w14:paraId="6991DFB3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i kształtowania ładu przestrzennego:</w:t>
      </w:r>
    </w:p>
    <w:p w14:paraId="1C3FCA78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dopuszcza się lokalizację wolnostojących budynków gospodarczych i garażowych wyłącznie jako towarzyszących zabudowie mieszkaniowej;</w:t>
      </w:r>
    </w:p>
    <w:p w14:paraId="56471B69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2) </w:t>
      </w:r>
      <w:r>
        <w:rPr>
          <w:color w:val="000000"/>
          <w:u w:color="000000"/>
        </w:rPr>
        <w:t>nie dopuszcza się sytuowania budynków mieszkalnych, gospodarczych i garażowych w odległości 1,5 m od granicy lub bezpośrednio przy granicy z sąsiednimi działkami budowlanymi;</w:t>
      </w:r>
    </w:p>
    <w:p w14:paraId="00F35F5E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zakaz sytuowania garaży blaszanych;</w:t>
      </w:r>
    </w:p>
    <w:p w14:paraId="139E52EC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ustala się minimalną powierzchnię nowo wydzielonych działek budowlanych: 800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14:paraId="3BDFDCEF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kształtowania zabudowy oraz wskaźniki zagospodarowania terenu:</w:t>
      </w:r>
    </w:p>
    <w:p w14:paraId="162BA0D2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obowiązuje lokalizacja zabudowy zgodnie z nieprzekraczalną linią zabudowy;</w:t>
      </w:r>
    </w:p>
    <w:p w14:paraId="22C547F2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wskaźnik intensywności zabudowy: od 0,1 do 0,5;</w:t>
      </w:r>
    </w:p>
    <w:p w14:paraId="0565D679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ustala się maksymalną wielkość powierzchni zabudowy na działce w stosunku do powierzchni działki budowlanej – 40%;</w:t>
      </w:r>
    </w:p>
    <w:p w14:paraId="2EE1A558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ustala się minimalny udział powierzchni biologicznie czynnej w odniesieniu do powierzchni działki budowlanej – 50%;</w:t>
      </w:r>
    </w:p>
    <w:p w14:paraId="2190DC17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obowiązuje zapewnienie odpowiedniej ilości miejsc do parkowania (mp) w ramach działki budowlanej nie mniejszej niż:</w:t>
      </w:r>
    </w:p>
    <w:p w14:paraId="4D581DE5" w14:textId="77777777" w:rsidR="00A77B3E" w:rsidRDefault="004C7BC3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terenów przeznaczonych pod zabudowę mieszkaniową jednorodzinną – 1 mp dla każdego budynku mieszkalnego,</w:t>
      </w:r>
    </w:p>
    <w:p w14:paraId="487FB53B" w14:textId="77777777" w:rsidR="00A77B3E" w:rsidRDefault="004C7BC3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nie ustala się obowiązku realizacji miejsc do parkowania przeznaczonych na parkowanie pojazdów zaopatrzonych w kartę parkingową;</w:t>
      </w:r>
    </w:p>
    <w:p w14:paraId="66586682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wysokość zabudowy:</w:t>
      </w:r>
    </w:p>
    <w:p w14:paraId="68616D67" w14:textId="77777777" w:rsidR="00A77B3E" w:rsidRDefault="004C7BC3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do 10 m dla budynków mieszkalnych jednorodzinnych o dachu dwu – lub wielospadowym,</w:t>
      </w:r>
    </w:p>
    <w:p w14:paraId="7CAF02FF" w14:textId="77777777" w:rsidR="00A77B3E" w:rsidRDefault="004C7BC3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 7,5 m dla budynków mieszkalnych jednorodzinnych o dachu płaskim,</w:t>
      </w:r>
    </w:p>
    <w:p w14:paraId="6112F722" w14:textId="77777777" w:rsidR="00A77B3E" w:rsidRDefault="004C7BC3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 4,5 m dla pozostałych budynków i budowli, w tym wiat i altan;</w:t>
      </w:r>
    </w:p>
    <w:p w14:paraId="2F9FAEFD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rodzaj dachu:</w:t>
      </w:r>
    </w:p>
    <w:p w14:paraId="1C08FF5F" w14:textId="77777777" w:rsidR="00A77B3E" w:rsidRDefault="004C7BC3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budynków:</w:t>
      </w:r>
    </w:p>
    <w:p w14:paraId="2039A2BA" w14:textId="77777777" w:rsidR="00A77B3E" w:rsidRDefault="004C7BC3">
      <w:pPr>
        <w:keepLines/>
        <w:spacing w:before="120" w:after="120"/>
        <w:ind w:left="567" w:hanging="113"/>
        <w:rPr>
          <w:color w:val="000000"/>
          <w:u w:color="000000"/>
        </w:rPr>
      </w:pPr>
      <w:r>
        <w:lastRenderedPageBreak/>
        <w:t>– </w:t>
      </w:r>
      <w:r>
        <w:rPr>
          <w:color w:val="000000"/>
          <w:u w:color="000000"/>
        </w:rPr>
        <w:t>dachy płaskie,</w:t>
      </w:r>
    </w:p>
    <w:p w14:paraId="5E246A6C" w14:textId="77777777" w:rsidR="00A77B3E" w:rsidRDefault="004C7BC3">
      <w:pPr>
        <w:keepLines/>
        <w:spacing w:before="120" w:after="120"/>
        <w:ind w:left="227" w:hanging="113"/>
        <w:rPr>
          <w:color w:val="000000"/>
          <w:u w:color="000000"/>
        </w:rPr>
      </w:pPr>
      <w:r>
        <w:t>– </w:t>
      </w:r>
      <w:r>
        <w:rPr>
          <w:color w:val="000000"/>
          <w:u w:color="000000"/>
        </w:rPr>
        <w:t>dachy dwu – lub wielospadowe o kącie nachylenia połaci dachowych od 25° do 40°;</w:t>
      </w:r>
    </w:p>
    <w:p w14:paraId="36139B8F" w14:textId="77777777" w:rsidR="00A77B3E" w:rsidRDefault="004C7BC3">
      <w:pPr>
        <w:keepLines/>
        <w:spacing w:before="120" w:after="120"/>
        <w:ind w:left="22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dla budynków gospodarczych, garażowych i wiat:</w:t>
      </w:r>
    </w:p>
    <w:p w14:paraId="29438D20" w14:textId="77777777" w:rsidR="00A77B3E" w:rsidRDefault="004C7BC3">
      <w:pPr>
        <w:keepLines/>
        <w:spacing w:before="120" w:after="120"/>
        <w:ind w:left="227" w:hanging="113"/>
        <w:rPr>
          <w:color w:val="000000"/>
          <w:u w:color="000000"/>
        </w:rPr>
      </w:pPr>
      <w:r>
        <w:t>– </w:t>
      </w:r>
      <w:r>
        <w:rPr>
          <w:color w:val="000000"/>
          <w:u w:color="000000"/>
        </w:rPr>
        <w:t>dachy płaskie,</w:t>
      </w:r>
    </w:p>
    <w:p w14:paraId="1F89C5BD" w14:textId="77777777" w:rsidR="00A77B3E" w:rsidRDefault="004C7BC3">
      <w:pPr>
        <w:keepLines/>
        <w:spacing w:before="120" w:after="120"/>
        <w:ind w:left="227" w:hanging="113"/>
        <w:rPr>
          <w:color w:val="000000"/>
          <w:u w:color="000000"/>
        </w:rPr>
      </w:pPr>
      <w:r>
        <w:t>– </w:t>
      </w:r>
      <w:r>
        <w:rPr>
          <w:color w:val="000000"/>
          <w:u w:color="000000"/>
        </w:rPr>
        <w:t>dachy jedno lub wielospadowe o kącie nachylenia połaci dachowych do 20°;</w:t>
      </w:r>
    </w:p>
    <w:p w14:paraId="0373B795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realizacja elewacji z zastosowaniem nie więcej niż 3 rodzajów materiałów wykończeniowych (nie dotyczy obróbek blacharskich oraz stolarki);</w:t>
      </w:r>
    </w:p>
    <w:p w14:paraId="09569364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zakaz stosowania jako okładzin elewacyjnych: blach trapezowych, falistych i blachodachówki oraz płytek ceramicznych.</w:t>
      </w:r>
    </w:p>
    <w:p w14:paraId="59612903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Szczegółowe zasady i warunki scalania i podziału nieruchomości:</w:t>
      </w:r>
    </w:p>
    <w:p w14:paraId="7F6F2F14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ustala się obowiązku scalania i ponownego podziału nieruchomości;</w:t>
      </w:r>
    </w:p>
    <w:p w14:paraId="676E0E0C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parametry działek powstałych w wyniku scalania i podziału nieruchomości:</w:t>
      </w:r>
    </w:p>
    <w:p w14:paraId="041DBEE6" w14:textId="77777777" w:rsidR="00A77B3E" w:rsidRDefault="004C7BC3">
      <w:pPr>
        <w:keepLines/>
        <w:spacing w:before="120" w:after="120"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minimalna powierzchnia działek – 800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04313D8C" w14:textId="77777777" w:rsidR="00A77B3E" w:rsidRDefault="004C7BC3">
      <w:pPr>
        <w:keepLines/>
        <w:spacing w:before="120" w:after="120"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minimalna szerokości frontu działek – 18 m,</w:t>
      </w:r>
    </w:p>
    <w:p w14:paraId="7012DBFA" w14:textId="77777777" w:rsidR="00A77B3E" w:rsidRDefault="004C7BC3">
      <w:pPr>
        <w:keepLines/>
        <w:spacing w:before="120" w:after="120"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dowolny kąt położenia granic działek w stosunku do pasa drogowego.</w:t>
      </w:r>
    </w:p>
    <w:p w14:paraId="1E8E07E6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Zasady obsługi komunikacyjnej:</w:t>
      </w:r>
    </w:p>
    <w:p w14:paraId="49D1C29E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 drogi publicznej – ulicy dojazdowej, oznaczonej symbolem 1KDD;</w:t>
      </w:r>
    </w:p>
    <w:p w14:paraId="0F240CDB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 drogi publicznej – ulicy dojazdowej, oznaczonej symbolem 2KDD;</w:t>
      </w:r>
    </w:p>
    <w:p w14:paraId="750DDEC9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 drogi publicznej – ulicy Bosmańskiej poza obszarem opracowania.</w:t>
      </w:r>
    </w:p>
    <w:p w14:paraId="3028ABD3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Warunki w zakresie infrastruktury technicznej ustalone w Dziale IV.</w:t>
      </w:r>
    </w:p>
    <w:p w14:paraId="23547939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7.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 xml:space="preserve">2MN </w:t>
      </w:r>
      <w:r>
        <w:rPr>
          <w:color w:val="000000"/>
          <w:u w:color="000000"/>
        </w:rPr>
        <w:t>– zabudowa mieszkaniowa jednorodzinna wolnostojąca.</w:t>
      </w:r>
    </w:p>
    <w:p w14:paraId="7ABB42B1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i kształtowania ładu przestrzennego:</w:t>
      </w:r>
    </w:p>
    <w:p w14:paraId="7CFA68F9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1) </w:t>
      </w:r>
      <w:r>
        <w:rPr>
          <w:color w:val="000000"/>
          <w:u w:color="000000"/>
        </w:rPr>
        <w:t>zakaz lokalizacji budynków;</w:t>
      </w:r>
    </w:p>
    <w:p w14:paraId="2D9A0F38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ustala się minimalny udział powierzchni biologicznie czynnej w odniesieniu do powierzchni działki budowlanej – 5%.</w:t>
      </w:r>
    </w:p>
    <w:p w14:paraId="0A46AD71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Szczegółowe zasady i warunki scalania i podziału nieruchomości:</w:t>
      </w:r>
    </w:p>
    <w:p w14:paraId="54787036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nie ustala się obowiązku scalania i ponownego podziału nieruchomości;</w:t>
      </w:r>
    </w:p>
    <w:p w14:paraId="2B75AF3F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nie ustala się parametrów działek powstałych w wyniku scalania i podziału nieruchomości.</w:t>
      </w:r>
    </w:p>
    <w:p w14:paraId="5CD0BF61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Zasady obsługi komunikacyjnej:</w:t>
      </w:r>
    </w:p>
    <w:p w14:paraId="4F4ACE9E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 drogi publicznej – ulicy lokalnej, oznaczonej symbolem 1KDL;</w:t>
      </w:r>
    </w:p>
    <w:p w14:paraId="03E57033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Warunki w zakresie infrastruktury technicznej ustalone w Dziale IV.</w:t>
      </w:r>
    </w:p>
    <w:p w14:paraId="140DFE1E" w14:textId="77777777" w:rsidR="00A77B3E" w:rsidRDefault="004C7BC3">
      <w:pPr>
        <w:keepNext/>
        <w:keepLines/>
        <w:jc w:val="center"/>
        <w:rPr>
          <w:color w:val="000000"/>
          <w:u w:color="000000"/>
        </w:rPr>
      </w:pPr>
      <w:r>
        <w:rPr>
          <w:b/>
        </w:rPr>
        <w:t>Rozdział 2.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dotyczące terenów zieleni</w:t>
      </w:r>
    </w:p>
    <w:p w14:paraId="77DA711A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8.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 xml:space="preserve">1ZU </w:t>
      </w:r>
      <w:r>
        <w:rPr>
          <w:color w:val="000000"/>
          <w:u w:color="000000"/>
        </w:rPr>
        <w:t>z przeznaczeniem podstawowym – teren zieleni urządzonej.</w:t>
      </w:r>
    </w:p>
    <w:p w14:paraId="1231F918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Zasady ochrony i kształtowania ładu przestrzennego:</w:t>
      </w:r>
    </w:p>
    <w:p w14:paraId="222DD0EE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lokalizacji budynków;</w:t>
      </w:r>
    </w:p>
    <w:p w14:paraId="52B511AD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lokalizację ciągów pieszych i rowerowych;</w:t>
      </w:r>
    </w:p>
    <w:p w14:paraId="0774042D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dopuszcza się lokalizację sieci infrastruktury technicznej oraz urządzeń zachowujących drożność rowu.</w:t>
      </w:r>
    </w:p>
    <w:p w14:paraId="08D0DC29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zagospodarowania terenu:</w:t>
      </w:r>
    </w:p>
    <w:p w14:paraId="4F9AD202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minimalny udział powierzchni biologicznie czynnej w odniesieniu do działki budowlanej – 80%.</w:t>
      </w:r>
    </w:p>
    <w:p w14:paraId="01776AA7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Zasady obsługi komunikacyjnej:</w:t>
      </w:r>
    </w:p>
    <w:p w14:paraId="5D432690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 drogi publicznej – ulicy Bosmańskiej poza obszarem opracowania.</w:t>
      </w:r>
    </w:p>
    <w:p w14:paraId="742B4E5B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Warunki w zakresie infrastruktury technicznej ustalone w Dziale IV.</w:t>
      </w:r>
    </w:p>
    <w:p w14:paraId="3C6A01E1" w14:textId="77777777" w:rsidR="00A77B3E" w:rsidRDefault="004C7BC3">
      <w:pPr>
        <w:keepNext/>
        <w:keepLines/>
        <w:jc w:val="center"/>
        <w:rPr>
          <w:color w:val="000000"/>
          <w:u w:color="000000"/>
        </w:rPr>
      </w:pPr>
      <w:r>
        <w:rPr>
          <w:b/>
        </w:rPr>
        <w:lastRenderedPageBreak/>
        <w:t>Rozdział 3.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dotyczące terenów dróg</w:t>
      </w:r>
    </w:p>
    <w:p w14:paraId="49D6E24A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9.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>1KDL</w:t>
      </w:r>
      <w:r>
        <w:rPr>
          <w:color w:val="000000"/>
          <w:u w:color="000000"/>
        </w:rPr>
        <w:t xml:space="preserve"> – teren dróg publicznych – droga lokalna.</w:t>
      </w:r>
    </w:p>
    <w:p w14:paraId="53B40AA5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warunki zagospodarowania terenu:</w:t>
      </w:r>
    </w:p>
    <w:p w14:paraId="3D094D02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podstawowe: drogi publiczne wraz z obiektami i urządzeniami związanymi z obsługą ruchu drogowego;</w:t>
      </w:r>
    </w:p>
    <w:p w14:paraId="28DC233D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 sieci i urządzenia infrastruktury technicznej, ścieżki rowerowe;</w:t>
      </w:r>
    </w:p>
    <w:p w14:paraId="2040A903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szerokość pasa drogowego w liniach rozgraniczających od 15,0 m do 24,0 m.</w:t>
      </w:r>
    </w:p>
    <w:p w14:paraId="6BA0A75D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ochrony i kształtowania ładu przestrzennego:</w:t>
      </w:r>
    </w:p>
    <w:p w14:paraId="0D417B5F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lokalizacji budynków.</w:t>
      </w:r>
    </w:p>
    <w:p w14:paraId="2426A43C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10.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>1KDD</w:t>
      </w:r>
      <w:r>
        <w:rPr>
          <w:color w:val="000000"/>
          <w:u w:color="000000"/>
        </w:rPr>
        <w:t xml:space="preserve"> – teren dróg publicznych – droga dojazdowa.</w:t>
      </w:r>
    </w:p>
    <w:p w14:paraId="79775887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warunki zagospodarowania terenu:</w:t>
      </w:r>
    </w:p>
    <w:p w14:paraId="728C1EDD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podstawowe: drogi publiczne wraz z obiektami i urządzeniami związanymi z obsługą ruchu drogowego;</w:t>
      </w:r>
    </w:p>
    <w:p w14:paraId="0488ECD0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 sieci i urządzenia infrastruktury technicznej, ścieżki rowerowe;</w:t>
      </w:r>
    </w:p>
    <w:p w14:paraId="13F1AA07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szerokość pasa drogowego w liniach rozgraniczających od 6,0 m do 26,0 m.</w:t>
      </w:r>
    </w:p>
    <w:p w14:paraId="39148671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ochrony i kształtowania ładu przestrzennego:</w:t>
      </w:r>
    </w:p>
    <w:p w14:paraId="637663DB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lokalizacji budynków.</w:t>
      </w:r>
    </w:p>
    <w:p w14:paraId="4FE1BB59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11. </w:t>
      </w:r>
      <w:r>
        <w:t>1. </w:t>
      </w:r>
      <w:r>
        <w:rPr>
          <w:color w:val="000000"/>
          <w:u w:color="000000"/>
        </w:rPr>
        <w:t xml:space="preserve">Wyznacza się teren oznaczony na rysunku planu symbolem </w:t>
      </w:r>
      <w:r>
        <w:rPr>
          <w:b/>
          <w:color w:val="000000"/>
          <w:u w:color="000000"/>
        </w:rPr>
        <w:t>2KDD</w:t>
      </w:r>
      <w:r>
        <w:rPr>
          <w:color w:val="000000"/>
          <w:u w:color="000000"/>
        </w:rPr>
        <w:t xml:space="preserve"> – teren dróg publicznych – droga dojazdowa.</w:t>
      </w:r>
    </w:p>
    <w:p w14:paraId="21DD29AA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warunki zagospodarowania terenu:</w:t>
      </w:r>
    </w:p>
    <w:p w14:paraId="3C941A8D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1) </w:t>
      </w:r>
      <w:r>
        <w:rPr>
          <w:color w:val="000000"/>
          <w:u w:color="000000"/>
        </w:rPr>
        <w:t>przeznaczenie podstawowe: drogi publiczne wraz z obiektami i urządzeniami związanymi z obsługą ruchu drogowego;</w:t>
      </w:r>
    </w:p>
    <w:p w14:paraId="18CB6B1E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 sieci i urządzenia infrastruktury technicznej, ścieżki rowerowe;</w:t>
      </w:r>
    </w:p>
    <w:p w14:paraId="4ED913D9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szerokość pasa drogowego w liniach rozgraniczających od 10,0 m do 19,0 m.</w:t>
      </w:r>
    </w:p>
    <w:p w14:paraId="78DB3D47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Zasady ochrony i kształtowania ładu przestrzennego:</w:t>
      </w:r>
    </w:p>
    <w:p w14:paraId="0DCAB7A5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lokalizacji budynków.</w:t>
      </w:r>
    </w:p>
    <w:p w14:paraId="34F3E951" w14:textId="77777777" w:rsidR="00A77B3E" w:rsidRDefault="004C7BC3">
      <w:pPr>
        <w:keepNext/>
        <w:jc w:val="center"/>
        <w:rPr>
          <w:color w:val="000000"/>
          <w:u w:color="000000"/>
        </w:rPr>
      </w:pPr>
      <w:r>
        <w:rPr>
          <w:b/>
          <w:caps/>
        </w:rPr>
        <w:t>Dział IV.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SZCZEGÓŁOWE DOTYCZCE INFRASTRUKTURY TECHNICZNEJ</w:t>
      </w:r>
    </w:p>
    <w:p w14:paraId="0C4AA0FF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12. </w:t>
      </w:r>
      <w:r>
        <w:t>1. </w:t>
      </w:r>
      <w:r>
        <w:rPr>
          <w:color w:val="000000"/>
          <w:u w:color="000000"/>
        </w:rPr>
        <w:t>Ustala się następujące zasady w zakresie zaopatrzenia w wodę:</w:t>
      </w:r>
    </w:p>
    <w:p w14:paraId="260EFE93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zaopatrzenie w wodę do celów socjalno – bytowych, gospodarczych i przeciwpożarowych z istniejącej miejskiej sieci wodociągowej;</w:t>
      </w:r>
    </w:p>
    <w:p w14:paraId="28492020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zakazuje się zaopatrzenia w wodę do celów socjalno – bytowych ze studni.</w:t>
      </w:r>
    </w:p>
    <w:p w14:paraId="1862337C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Ustala się następujące zasady w zakresie odprowadzania ścieków:</w:t>
      </w:r>
    </w:p>
    <w:p w14:paraId="0A5DD6F2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odprowadzenie ścieków poprzez istniejące sieci do zbiorowego systemu odprowadzania ścieków;</w:t>
      </w:r>
    </w:p>
    <w:p w14:paraId="4D0BAC8C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zakazuje się odprowadzanie ścieków do szczelnych, bezodpływowych zbiorników na nieczystości ciekłe oraz do przydomowych oczyszczalni ścieków.</w:t>
      </w:r>
    </w:p>
    <w:p w14:paraId="53E75E42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Ustala się następujące zasady w zakresie odprowadzania wód opadowych i roztopowych:</w:t>
      </w:r>
    </w:p>
    <w:p w14:paraId="6E17FD4A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obowiązuje zagospodarowanie wód opadowych w granicach nieruchomości przez naturalną i wymuszoną retencję gruntu;</w:t>
      </w:r>
    </w:p>
    <w:p w14:paraId="295CEEA1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odprowadzanie ścieków opadowych i roztopowych poprzez istniejący i projektowany system sieci kanalizacji deszczowej z terenów dróg publicznych;</w:t>
      </w:r>
    </w:p>
    <w:p w14:paraId="6D3B5BF2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lastRenderedPageBreak/>
        <w:t>3) </w:t>
      </w:r>
      <w:r>
        <w:rPr>
          <w:color w:val="000000"/>
          <w:u w:color="000000"/>
        </w:rPr>
        <w:t>zakaz odprowadzania ścieków opadowych i roztopowych poprzez istniejący i projektowany system sieci kanalizacji deszczowej z terenów zabudowy mieszkaniowej jednorodzinnej i terenów zieleni urządzonej.</w:t>
      </w:r>
    </w:p>
    <w:p w14:paraId="19433B5E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Ustala się następujące zasady w zakresie zaopatrzenia w energię elektryczną:</w:t>
      </w:r>
    </w:p>
    <w:p w14:paraId="434940B7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zasilanie w energię elektryczną z istniejących stacji transformatorowych;</w:t>
      </w:r>
    </w:p>
    <w:p w14:paraId="6C4495D4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przebudowę oraz likwidację istniejących linii energetycznych;</w:t>
      </w:r>
    </w:p>
    <w:p w14:paraId="1E34CEB1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dla nowo realizowanych odcinków sieci elektroenergetycznych obowiązuje zastosowanie wyłącznie linii kablowych układanych w gruncie.</w:t>
      </w:r>
    </w:p>
    <w:p w14:paraId="6AEA2CB2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Ustala się następujące zasady w zakresie zaopatrzenia w gaz:</w:t>
      </w:r>
    </w:p>
    <w:p w14:paraId="34C1A50C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poprzez przyłączenie do istniejącej i projektowanej sieci gazowej.</w:t>
      </w:r>
    </w:p>
    <w:p w14:paraId="03E584EB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Ustala się następujące zasady w zakresie zaopatrzenia w ciepło:</w:t>
      </w:r>
    </w:p>
    <w:p w14:paraId="1728F0C2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stosowania indywidualnych źródeł zaopatrzenia w ciepło powodujących emisję spalin przekraczających dopuszczalne normy;</w:t>
      </w:r>
    </w:p>
    <w:p w14:paraId="18A8FD99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obowiązek stosowania bezpiecznych ekologicznie nośników energii cieplnej w tym źródeł energii odnawialnej.</w:t>
      </w:r>
    </w:p>
    <w:p w14:paraId="26159620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t>7. </w:t>
      </w:r>
      <w:r>
        <w:rPr>
          <w:color w:val="000000"/>
          <w:u w:color="000000"/>
        </w:rPr>
        <w:t>Ustala się następujące zasady wyposażenia w łącza telefoniczne i teleinformatyczne:</w:t>
      </w:r>
    </w:p>
    <w:p w14:paraId="252CFE4D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zaopatrzenie w stacjonarne łącza telefoniczne z istniejącej i projektowanej sieci telekomunikacyjnej;</w:t>
      </w:r>
    </w:p>
    <w:p w14:paraId="4A249E0C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dopuszcza się lokalizację inwestycji celu publicznego z zakresu telekomunikacji na warunkach określonych w przepisach odrębnych i szczególnych;</w:t>
      </w:r>
    </w:p>
    <w:p w14:paraId="79D01689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obowiązuje realizacja podziemnej sieci teletechnicznej.</w:t>
      </w:r>
    </w:p>
    <w:p w14:paraId="3EFD805A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t>8. </w:t>
      </w:r>
      <w:r>
        <w:rPr>
          <w:color w:val="000000"/>
          <w:u w:color="000000"/>
        </w:rPr>
        <w:t>Ustala się następujące zasady obsługi w zakresie gospodarki odpadami stałymi:</w:t>
      </w:r>
    </w:p>
    <w:p w14:paraId="1E31DCD5" w14:textId="77777777" w:rsidR="00A77B3E" w:rsidRDefault="004C7BC3">
      <w:pPr>
        <w:spacing w:before="120" w:after="120"/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usuwanie odpadów w oparciu o miejski system oczyszczania.</w:t>
      </w:r>
    </w:p>
    <w:p w14:paraId="79F18C93" w14:textId="77777777" w:rsidR="00A77B3E" w:rsidRDefault="004C7BC3">
      <w:pPr>
        <w:keepNext/>
        <w:jc w:val="center"/>
        <w:rPr>
          <w:color w:val="000000"/>
          <w:u w:color="000000"/>
        </w:rPr>
      </w:pPr>
      <w:r>
        <w:rPr>
          <w:b/>
          <w:caps/>
        </w:rPr>
        <w:lastRenderedPageBreak/>
        <w:t>Dział V.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KOŃCOWE</w:t>
      </w:r>
    </w:p>
    <w:p w14:paraId="42AAE242" w14:textId="77777777" w:rsidR="00A77B3E" w:rsidRDefault="004C7BC3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13. </w:t>
      </w:r>
      <w:r>
        <w:rPr>
          <w:color w:val="000000"/>
          <w:u w:color="000000"/>
        </w:rPr>
        <w:t>Uchwała podlega ogłoszeniu w Dzienniku Urzędowym Województwa Łódzkiego i na stronie internetowej Miasta Piotrkowa Trybunalskiego.</w:t>
      </w:r>
    </w:p>
    <w:p w14:paraId="30B6C562" w14:textId="77777777" w:rsidR="00A77B3E" w:rsidRDefault="004C7BC3">
      <w:pPr>
        <w:keepNext/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14. </w:t>
      </w:r>
      <w:r>
        <w:rPr>
          <w:color w:val="000000"/>
          <w:u w:color="000000"/>
        </w:rPr>
        <w:t>Uchwała wchodzi w życie po upływie 14 dni od dnia ogłoszenia jej w Dzienniku Urzędowym Województwa Łódzkiego.</w:t>
      </w:r>
    </w:p>
    <w:p w14:paraId="6EBF1E69" w14:textId="77777777" w:rsidR="00A77B3E" w:rsidRDefault="00A77B3E">
      <w:pPr>
        <w:keepNext/>
        <w:keepLines/>
        <w:spacing w:before="120" w:after="120"/>
        <w:ind w:firstLine="340"/>
        <w:rPr>
          <w:color w:val="000000"/>
          <w:u w:color="000000"/>
        </w:rPr>
      </w:pPr>
    </w:p>
    <w:p w14:paraId="34FE8BDF" w14:textId="77777777" w:rsidR="00A77B3E" w:rsidRDefault="004C7BC3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EE2E89" w14:paraId="5A2F5C66" w14:textId="77777777"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2448A8E1" w14:textId="77777777" w:rsidR="00EE2E89" w:rsidRDefault="00EE2E89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1283826D" w14:textId="77777777" w:rsidR="00EE2E89" w:rsidRDefault="004C7BC3">
            <w:pPr>
              <w:keepNext/>
              <w:keepLines/>
              <w:spacing w:before="560" w:after="560"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Przewodniczący Rady Miasta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Marian Błaszczyński</w:t>
            </w:r>
          </w:p>
        </w:tc>
      </w:tr>
    </w:tbl>
    <w:p w14:paraId="65F895DC" w14:textId="77777777" w:rsidR="00A77B3E" w:rsidRDefault="00A77B3E">
      <w:pPr>
        <w:keepNext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0C9A0CD7" w14:textId="77777777" w:rsidR="00A77B3E" w:rsidRDefault="004C7BC3">
      <w:pPr>
        <w:spacing w:before="120" w:after="120" w:line="360" w:lineRule="auto"/>
        <w:ind w:left="4948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1 do uchwały Nr XXXVI/491/21</w:t>
      </w:r>
      <w:r>
        <w:rPr>
          <w:color w:val="000000"/>
          <w:u w:color="000000"/>
        </w:rPr>
        <w:br/>
        <w:t>Rady Miasta Piotrkowa Trybunalskiego</w:t>
      </w:r>
      <w:r>
        <w:rPr>
          <w:color w:val="000000"/>
          <w:u w:color="000000"/>
        </w:rPr>
        <w:br/>
        <w:t>z dnia 26 maja 2021 r.</w:t>
      </w:r>
    </w:p>
    <w:p w14:paraId="0CEB4782" w14:textId="77777777" w:rsidR="00A77B3E" w:rsidRDefault="004C7BC3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0186CC1B" wp14:editId="2B50E567">
            <wp:extent cx="6264910" cy="8857017"/>
            <wp:effectExtent l="0" t="0" r="0" b="0"/>
            <wp:docPr id="100001" name="Obraz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310EE" w14:textId="77777777" w:rsidR="00A77B3E" w:rsidRDefault="004C7BC3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597D76BA" wp14:editId="3D40B438">
            <wp:extent cx="6264910" cy="8857017"/>
            <wp:effectExtent l="0" t="0" r="0" b="0"/>
            <wp:docPr id="100003" name="Obraz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D57FA" w14:textId="77777777" w:rsidR="00A77B3E" w:rsidRDefault="004C7BC3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764EA70D" wp14:editId="426B8E57">
            <wp:extent cx="6264910" cy="8857017"/>
            <wp:effectExtent l="0" t="0" r="0" b="0"/>
            <wp:docPr id="100005" name="Obraz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4B94E" w14:textId="77777777" w:rsidR="00A77B3E" w:rsidRDefault="004C7BC3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334079BF" wp14:editId="4B8B5B91">
            <wp:extent cx="6264910" cy="8857017"/>
            <wp:effectExtent l="0" t="0" r="0" b="0"/>
            <wp:docPr id="100007" name="Obraz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5DAFA" w14:textId="77777777" w:rsidR="00A77B3E" w:rsidRDefault="004C7BC3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3C44B8F2" wp14:editId="3377EBA4">
            <wp:extent cx="6264910" cy="8857017"/>
            <wp:effectExtent l="0" t="0" r="0" b="0"/>
            <wp:docPr id="100009" name="Obraz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E630A" w14:textId="77777777" w:rsidR="00A77B3E" w:rsidRDefault="004C7BC3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1A97B03F" wp14:editId="4851272B">
            <wp:extent cx="6264910" cy="8857017"/>
            <wp:effectExtent l="0" t="0" r="0" b="0"/>
            <wp:docPr id="100011" name="Obraz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A55A5" w14:textId="77777777" w:rsidR="00A77B3E" w:rsidRDefault="00A77B3E">
      <w:pPr>
        <w:spacing w:before="120" w:after="120"/>
        <w:ind w:left="283" w:firstLine="227"/>
        <w:jc w:val="left"/>
        <w:rPr>
          <w:color w:val="000000"/>
          <w:u w:color="000000"/>
        </w:rPr>
        <w:sectPr w:rsidR="00A77B3E">
          <w:footerReference w:type="default" r:id="rId19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14:paraId="60C45AB4" w14:textId="77777777" w:rsidR="00A77B3E" w:rsidRDefault="004C7BC3">
      <w:pPr>
        <w:spacing w:before="120" w:after="120" w:line="360" w:lineRule="auto"/>
        <w:ind w:left="4948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2 do uchwały Nr XXXVI/491/21</w:t>
      </w:r>
      <w:r>
        <w:rPr>
          <w:color w:val="000000"/>
          <w:u w:color="000000"/>
        </w:rPr>
        <w:br/>
        <w:t>Rady Miasta Piotrkowa Trybunalskiego</w:t>
      </w:r>
      <w:r>
        <w:rPr>
          <w:color w:val="000000"/>
          <w:u w:color="000000"/>
        </w:rPr>
        <w:br/>
        <w:t>z dnia 26 maja 2021 r.</w:t>
      </w:r>
    </w:p>
    <w:p w14:paraId="67D89B55" w14:textId="77777777" w:rsidR="00A77B3E" w:rsidRDefault="004C7BC3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6C5884FE" wp14:editId="1AF30574">
            <wp:extent cx="6264910" cy="8857017"/>
            <wp:effectExtent l="0" t="0" r="0" b="0"/>
            <wp:docPr id="100013" name="Obraz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BF3F3" w14:textId="77777777" w:rsidR="00A77B3E" w:rsidRDefault="004C7BC3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7824EC4F" wp14:editId="3B8A833E">
            <wp:extent cx="6264910" cy="8857017"/>
            <wp:effectExtent l="0" t="0" r="0" b="0"/>
            <wp:docPr id="100015" name="Obraz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85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ABCF1" w14:textId="77777777" w:rsidR="00A77B3E" w:rsidRDefault="00A77B3E">
      <w:pPr>
        <w:spacing w:before="120" w:after="120"/>
        <w:ind w:left="283" w:firstLine="227"/>
        <w:jc w:val="left"/>
        <w:rPr>
          <w:color w:val="000000"/>
          <w:u w:color="000000"/>
        </w:rPr>
        <w:sectPr w:rsidR="00A77B3E">
          <w:footerReference w:type="default" r:id="rId24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14:paraId="660F5991" w14:textId="77777777" w:rsidR="00A77B3E" w:rsidRDefault="004C7BC3">
      <w:pPr>
        <w:keepNext/>
        <w:spacing w:before="120" w:after="120" w:line="360" w:lineRule="auto"/>
        <w:ind w:left="4948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3 do uchwały Nr XXXVI/491/21</w:t>
      </w:r>
      <w:r>
        <w:rPr>
          <w:color w:val="000000"/>
          <w:u w:color="000000"/>
        </w:rPr>
        <w:br/>
        <w:t>Rady Miasta Piotrkowa Trybunalskiego</w:t>
      </w:r>
      <w:r>
        <w:rPr>
          <w:color w:val="000000"/>
          <w:u w:color="000000"/>
        </w:rPr>
        <w:br/>
        <w:t>z dnia 26 maja 2021 r.</w:t>
      </w:r>
    </w:p>
    <w:p w14:paraId="75EBFEB7" w14:textId="77777777" w:rsidR="00A77B3E" w:rsidRDefault="004C7BC3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DOTYCZĄCE SPOSOBU ROZPATRZENIA UWAG ZGŁOSZONYCH DO PROJEKTU PLANU MIEJSCOWEGO</w:t>
      </w:r>
    </w:p>
    <w:p w14:paraId="7997BA06" w14:textId="77777777" w:rsidR="00A77B3E" w:rsidRDefault="004C7BC3">
      <w:pPr>
        <w:keepLines/>
        <w:spacing w:before="120" w:after="120"/>
        <w:ind w:firstLine="227"/>
        <w:rPr>
          <w:color w:val="000000"/>
          <w:u w:color="000000"/>
        </w:rPr>
        <w:sectPr w:rsidR="00A77B3E">
          <w:footerReference w:type="default" r:id="rId25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  <w:r>
        <w:rPr>
          <w:color w:val="000000"/>
          <w:u w:color="000000"/>
        </w:rPr>
        <w:t>Na podstawie art. 20 ust. 1 ustawy dnia 27 marca 2003 r. o planowaniu i zagospodarowaniu przestrzennym (tj. Dz. U. z 2021 r. poz. 741, 784) Rada Miasta Piotrkowa Trybunalskiego stwierdza, że w ustawowym terminie po wyłożeniu do publicznego wglądu projektu miejscowego planu zagospodarowania przestrzennego w rejonie ulic Bosmańskiej i Kajakowej w Piotrkowie Trybunalskim, nie wniesiono uwag do projektu planu miejscowego.</w:t>
      </w:r>
    </w:p>
    <w:p w14:paraId="4CC868A6" w14:textId="77777777" w:rsidR="00A77B3E" w:rsidRDefault="004C7BC3">
      <w:pPr>
        <w:keepNext/>
        <w:spacing w:before="120" w:after="120" w:line="360" w:lineRule="auto"/>
        <w:ind w:left="4948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4 do uchwały Nr XXXVI/491/21</w:t>
      </w:r>
      <w:r>
        <w:rPr>
          <w:color w:val="000000"/>
          <w:u w:color="000000"/>
        </w:rPr>
        <w:br/>
        <w:t>Rady Miasta Piotrkowa Trybunalskiego</w:t>
      </w:r>
      <w:r>
        <w:rPr>
          <w:color w:val="000000"/>
          <w:u w:color="000000"/>
        </w:rPr>
        <w:br/>
        <w:t>z dnia 26 maja 2021 r.</w:t>
      </w:r>
    </w:p>
    <w:p w14:paraId="3F637482" w14:textId="77777777" w:rsidR="00A77B3E" w:rsidRDefault="004C7BC3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DOTYCZĄCE SPOSOBU REALIZACJI ZAPISANYCH</w:t>
      </w:r>
      <w:r>
        <w:rPr>
          <w:b/>
          <w:color w:val="000000"/>
          <w:u w:color="000000"/>
        </w:rPr>
        <w:br/>
        <w:t>W PLANIE MIEJSCOWYM INWESTYCJI Z ZAKRESU INFRASTRUKTURY TECHNICZNEJ, KTÓRE NALEŻĄ DO ZADAŃ WŁASNYCH GMINY ORAZ ZASADACH ICH FINANSOWANIA, ZGODNIE Z PRZEPISAMI O FINANSACH PUBLICZNYCH</w:t>
      </w:r>
    </w:p>
    <w:p w14:paraId="65796EA6" w14:textId="77777777" w:rsidR="00A77B3E" w:rsidRDefault="004C7BC3">
      <w:pPr>
        <w:keepLines/>
        <w:spacing w:before="120" w:after="120"/>
        <w:ind w:firstLine="227"/>
        <w:rPr>
          <w:color w:val="000000"/>
          <w:u w:color="000000"/>
        </w:rPr>
      </w:pPr>
      <w:r>
        <w:rPr>
          <w:color w:val="000000"/>
          <w:u w:color="000000"/>
        </w:rPr>
        <w:t>Zgodnie z art. 7 ust.1 ustawy z dnia 8 marca 1990 r. o samorządzie gminnym (tj. Dz. U. z 2020 r. poz. 713, 1378) w związku z uchwaleniem miejscowego planu zagospodarowania przestrzennego w rejonie ulic Bosmańskiej i Kajakowej w Piotrkowie Trybunalskim zostaną zagospodarowane kolejne tereny miasta, a dla terenów już zainwestowanych wprowadzone zostaną zasady zagospodarowania przy uwzględnieniu wymagań ładu przestrzennego w tym urbanistyki i architektury.</w:t>
      </w:r>
    </w:p>
    <w:p w14:paraId="7E96C4D2" w14:textId="77777777" w:rsidR="00A77B3E" w:rsidRDefault="004C7BC3">
      <w:pPr>
        <w:spacing w:before="120" w:after="120"/>
        <w:ind w:left="283" w:firstLine="227"/>
        <w:rPr>
          <w:color w:val="000000"/>
          <w:u w:color="000000"/>
        </w:rPr>
        <w:sectPr w:rsidR="00A77B3E">
          <w:footerReference w:type="default" r:id="rId26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  <w:r>
        <w:rPr>
          <w:color w:val="000000"/>
          <w:u w:color="000000"/>
        </w:rPr>
        <w:t>Zgodnie z opracowaną prognozą skutków finansowych dla projektu miejscowego planu zagospodarowania przestrzennego w rejonie ulic Bosmańskiej i Kajakowej w Piotrkowie Trybunalskim, ustalenia projektowanego planu nie generują wydatków związanych z jego uchwaleniem.</w:t>
      </w:r>
    </w:p>
    <w:p w14:paraId="7909A96B" w14:textId="2F536399" w:rsidR="00A77B3E" w:rsidRDefault="004C7BC3">
      <w:pPr>
        <w:keepNext/>
        <w:spacing w:before="280" w:after="280" w:line="360" w:lineRule="auto"/>
        <w:ind w:left="453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t>Załącznik Nr 5 do uchwały</w:t>
      </w:r>
      <w:r>
        <w:rPr>
          <w:color w:val="000000"/>
          <w:u w:color="000000"/>
        </w:rPr>
        <w:t xml:space="preserve"> Nr XXXVI/491/21</w:t>
      </w:r>
      <w:r>
        <w:rPr>
          <w:color w:val="000000"/>
          <w:u w:color="000000"/>
        </w:rPr>
        <w:br/>
      </w:r>
      <w:r>
        <w:t>Rady Miasta Piotrkowa Trybunalskiego</w:t>
      </w:r>
      <w:r>
        <w:rPr>
          <w:color w:val="000000"/>
          <w:u w:color="000000"/>
        </w:rPr>
        <w:br/>
      </w:r>
      <w:r>
        <w:t>z dnia 26 maja 2021 r.</w:t>
      </w:r>
      <w:r>
        <w:rPr>
          <w:color w:val="000000"/>
          <w:u w:color="000000"/>
        </w:rPr>
        <w:br/>
      </w:r>
      <w:hyperlink r:id="rId27" w:history="1">
        <w:r>
          <w:rPr>
            <w:rStyle w:val="Hipercze"/>
            <w:color w:val="000000"/>
            <w:u w:val="none" w:color="000000"/>
          </w:rPr>
          <w:t>Zalacznik5.gml</w:t>
        </w:r>
      </w:hyperlink>
    </w:p>
    <w:p w14:paraId="02B554E7" w14:textId="77777777" w:rsidR="00A77B3E" w:rsidRDefault="004C7BC3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Dane przestrzenne</w:t>
      </w:r>
      <w:r>
        <w:rPr>
          <w:b/>
          <w:color w:val="000000"/>
          <w:u w:color="000000"/>
        </w:rPr>
        <w:br/>
        <w:t>Zbiór danych przestrzennych w postaci cyfrowej do miejscowego planu zagospodarowania przestrzennego w rejonie ulic: Bosmańskiej i Kajakowej w Piotrkowie Trybunalskim sporządzony na podstawie art. 67a ust. 3 i 5, ustawy z dnia 27 marca 2003 r. o planowaniu i zagospodarowaniu przestrzennym (t.j. Dz. U. z 2021 r. poz. 741, 784)</w:t>
      </w:r>
    </w:p>
    <w:sectPr w:rsidR="00A77B3E">
      <w:footerReference w:type="default" r:id="rId28"/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B20C61" w14:textId="77777777" w:rsidR="004C7BC3" w:rsidRDefault="004C7BC3">
      <w:r>
        <w:separator/>
      </w:r>
    </w:p>
  </w:endnote>
  <w:endnote w:type="continuationSeparator" w:id="0">
    <w:p w14:paraId="487E0458" w14:textId="77777777" w:rsidR="004C7BC3" w:rsidRDefault="004C7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EE2E89" w14:paraId="38041FC5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26E2165A" w14:textId="77777777" w:rsidR="00EE2E89" w:rsidRDefault="004C7BC3">
          <w:pPr>
            <w:jc w:val="left"/>
            <w:rPr>
              <w:sz w:val="18"/>
            </w:rPr>
          </w:pPr>
          <w:r>
            <w:rPr>
              <w:sz w:val="18"/>
            </w:rPr>
            <w:t>Id: 50132629-8EC7-4FBF-8355-BA9C2F80D9EC. Uchwalony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4A80532F" w14:textId="77777777" w:rsidR="00EE2E89" w:rsidRDefault="004C7BC3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3A18AB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14:paraId="11439F69" w14:textId="77777777" w:rsidR="00EE2E89" w:rsidRDefault="00EE2E89">
    <w:pPr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EE2E89" w14:paraId="26C216D9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4B6D4CE7" w14:textId="77777777" w:rsidR="00EE2E89" w:rsidRDefault="004C7BC3">
          <w:pPr>
            <w:jc w:val="left"/>
            <w:rPr>
              <w:sz w:val="18"/>
            </w:rPr>
          </w:pPr>
          <w:r>
            <w:rPr>
              <w:sz w:val="18"/>
            </w:rPr>
            <w:t>Id: 50132629-8EC7-4FBF-8355-BA9C2F80D9EC. Uchwalony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3B2C1F85" w14:textId="79C45D02" w:rsidR="00EE2E89" w:rsidRDefault="004C7BC3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3A18AB">
            <w:rPr>
              <w:noProof/>
              <w:sz w:val="18"/>
            </w:rPr>
            <w:t>7</w:t>
          </w:r>
          <w:r>
            <w:rPr>
              <w:sz w:val="18"/>
            </w:rPr>
            <w:fldChar w:fldCharType="end"/>
          </w:r>
        </w:p>
      </w:tc>
    </w:tr>
  </w:tbl>
  <w:p w14:paraId="7EF33B06" w14:textId="77777777" w:rsidR="00EE2E89" w:rsidRDefault="00EE2E89">
    <w:pPr>
      <w:rPr>
        <w:sz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EE2E89" w14:paraId="08F8D856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45279316" w14:textId="77777777" w:rsidR="00EE2E89" w:rsidRDefault="004C7BC3">
          <w:pPr>
            <w:jc w:val="left"/>
            <w:rPr>
              <w:sz w:val="18"/>
            </w:rPr>
          </w:pPr>
          <w:r>
            <w:rPr>
              <w:sz w:val="18"/>
            </w:rPr>
            <w:t>Id: 50132629-8EC7-4FBF-8355-BA9C2F80D9EC. Uchwalony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1A429FCA" w14:textId="7D31170D" w:rsidR="00EE2E89" w:rsidRDefault="004C7BC3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3A18AB">
            <w:rPr>
              <w:noProof/>
              <w:sz w:val="18"/>
            </w:rPr>
            <w:t>3</w:t>
          </w:r>
          <w:r>
            <w:rPr>
              <w:sz w:val="18"/>
            </w:rPr>
            <w:fldChar w:fldCharType="end"/>
          </w:r>
        </w:p>
      </w:tc>
    </w:tr>
  </w:tbl>
  <w:p w14:paraId="4D900773" w14:textId="77777777" w:rsidR="00EE2E89" w:rsidRDefault="00EE2E89">
    <w:pPr>
      <w:rPr>
        <w:sz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EE2E89" w14:paraId="58EAC01F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6167D3F2" w14:textId="77777777" w:rsidR="00EE2E89" w:rsidRDefault="004C7BC3">
          <w:pPr>
            <w:jc w:val="left"/>
            <w:rPr>
              <w:sz w:val="18"/>
            </w:rPr>
          </w:pPr>
          <w:r>
            <w:rPr>
              <w:sz w:val="18"/>
            </w:rPr>
            <w:t>Id: 50132629-8EC7-4FBF-8355-BA9C2F80D9EC. Uchwalony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673AE186" w14:textId="5F4E3B57" w:rsidR="00EE2E89" w:rsidRDefault="004C7BC3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3A18AB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40D95B6D" w14:textId="77777777" w:rsidR="00EE2E89" w:rsidRDefault="00EE2E89">
    <w:pPr>
      <w:rPr>
        <w:sz w:val="18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EE2E89" w14:paraId="23D52A47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0E5BA4F6" w14:textId="77777777" w:rsidR="00EE2E89" w:rsidRDefault="004C7BC3">
          <w:pPr>
            <w:jc w:val="left"/>
            <w:rPr>
              <w:sz w:val="18"/>
            </w:rPr>
          </w:pPr>
          <w:r>
            <w:rPr>
              <w:sz w:val="18"/>
            </w:rPr>
            <w:t>Id: 50132629-8EC7-4FBF-8355-BA9C2F80D9EC. Uchwalony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6CD433D4" w14:textId="57476EEB" w:rsidR="00EE2E89" w:rsidRDefault="004C7BC3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3A18AB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43C3ACC0" w14:textId="77777777" w:rsidR="00EE2E89" w:rsidRDefault="00EE2E89">
    <w:pPr>
      <w:rPr>
        <w:sz w:val="18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EE2E89" w14:paraId="2429EEF9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258E60A0" w14:textId="77777777" w:rsidR="00EE2E89" w:rsidRDefault="004C7BC3">
          <w:pPr>
            <w:jc w:val="left"/>
            <w:rPr>
              <w:sz w:val="18"/>
            </w:rPr>
          </w:pPr>
          <w:r>
            <w:rPr>
              <w:sz w:val="18"/>
            </w:rPr>
            <w:t>Id: 50132629-8EC7-4FBF-8355-BA9C2F80D9EC. Uchwalony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5" w:type="dxa"/>
            <w:bottom w:w="5" w:type="dxa"/>
            <w:right w:w="5" w:type="dxa"/>
          </w:tcMar>
          <w:hideMark/>
        </w:tcPr>
        <w:p w14:paraId="621D96AA" w14:textId="6A76FFF1" w:rsidR="00EE2E89" w:rsidRDefault="004C7BC3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3A18AB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77C1798E" w14:textId="77777777" w:rsidR="00EE2E89" w:rsidRDefault="00EE2E89">
    <w:pPr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97717F" w14:textId="77777777" w:rsidR="004C7BC3" w:rsidRDefault="004C7BC3">
      <w:r>
        <w:separator/>
      </w:r>
    </w:p>
  </w:footnote>
  <w:footnote w:type="continuationSeparator" w:id="0">
    <w:p w14:paraId="3EB83086" w14:textId="77777777" w:rsidR="004C7BC3" w:rsidRDefault="004C7B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3A18AB"/>
    <w:rsid w:val="004C7BC3"/>
    <w:rsid w:val="00A77B3E"/>
    <w:rsid w:val="00C6700E"/>
    <w:rsid w:val="00CA2A55"/>
    <w:rsid w:val="00EE2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7DA38DE"/>
  <w15:docId w15:val="{94624FFB-3B0D-4DED-A6DA-2AA8337F5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F7B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6992EDEE-3A63-463D-84F4-7D6B4BCD552E.jpg" TargetMode="External"/><Relationship Id="rId13" Type="http://schemas.openxmlformats.org/officeDocument/2006/relationships/image" Target="media/image4.jpeg"/><Relationship Id="rId18" Type="http://schemas.openxmlformats.org/officeDocument/2006/relationships/image" Target="Zalacznik18BD853E-2B40-497C-A767-525A39899208.jpg" TargetMode="External"/><Relationship Id="rId26" Type="http://schemas.openxmlformats.org/officeDocument/2006/relationships/footer" Target="footer5.xml"/><Relationship Id="rId3" Type="http://schemas.openxmlformats.org/officeDocument/2006/relationships/webSettings" Target="webSettings.xml"/><Relationship Id="rId21" Type="http://schemas.openxmlformats.org/officeDocument/2006/relationships/image" Target="ZalacznikC3313614-12DC-4DBC-ABB7-016A0C073642.jpg" TargetMode="External"/><Relationship Id="rId7" Type="http://schemas.openxmlformats.org/officeDocument/2006/relationships/image" Target="media/image1.jpeg"/><Relationship Id="rId12" Type="http://schemas.openxmlformats.org/officeDocument/2006/relationships/image" Target="Zalacznik399C665D-7D8D-42DC-9FD4-51303E8B625D.jpg" TargetMode="External"/><Relationship Id="rId17" Type="http://schemas.openxmlformats.org/officeDocument/2006/relationships/image" Target="media/image6.jpeg"/><Relationship Id="rId25" Type="http://schemas.openxmlformats.org/officeDocument/2006/relationships/footer" Target="footer4.xml"/><Relationship Id="rId2" Type="http://schemas.openxmlformats.org/officeDocument/2006/relationships/settings" Target="settings.xml"/><Relationship Id="rId16" Type="http://schemas.openxmlformats.org/officeDocument/2006/relationships/image" Target="ZalacznikB8B526E0-9627-4998-959D-46E2947F0332.jpg" TargetMode="External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jpe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ZalacznikA6F31C13-F449-4E73-989B-CC7782E1FE0B.jpg" TargetMode="External"/><Relationship Id="rId28" Type="http://schemas.openxmlformats.org/officeDocument/2006/relationships/footer" Target="footer6.xml"/><Relationship Id="rId10" Type="http://schemas.openxmlformats.org/officeDocument/2006/relationships/image" Target="Zalacznik413E8DE3-13F4-40DB-840D-17D69942A877.jpg" TargetMode="External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Zalacznik1D275831-F872-46EA-8109-D67EA811E20E.jpg" TargetMode="External"/><Relationship Id="rId22" Type="http://schemas.openxmlformats.org/officeDocument/2006/relationships/image" Target="media/image8.jpeg"/><Relationship Id="rId27" Type="http://schemas.openxmlformats.org/officeDocument/2006/relationships/hyperlink" Target="file:///C:\Users\StebKa\AppData\Local\Temp\Legislator\2A4522BE-9FBE-4038-AE3F-EE1BE385D07C\Zalacznik5.gml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3092</Words>
  <Characters>20423</Characters>
  <Application>Microsoft Office Word</Application>
  <DocSecurity>4</DocSecurity>
  <Lines>170</Lines>
  <Paragraphs>46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 Nr XXXVI/491/21 z dnia 26 maja 2021 r.</vt:lpstr>
      <vt:lpstr/>
    </vt:vector>
  </TitlesOfParts>
  <Company>Rada Miasta Piotrkowa Trybunalskiego</Company>
  <LinksUpToDate>false</LinksUpToDate>
  <CharactersWithSpaces>23469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XXXVI/491/21 z dnia 26 maja 2021 r.</dc:title>
  <dc:subject>w sprawie miejscowego planu zagospodarowania przestrzennego w^rejonie ulic
Bosmańskiej i^Kajakowej w^Piotrkowie Trybunalskim</dc:subject>
  <dc:creator>StebKa</dc:creator>
  <cp:lastModifiedBy>Pawełczyk Katarzyna</cp:lastModifiedBy>
  <cp:revision>2</cp:revision>
  <dcterms:created xsi:type="dcterms:W3CDTF">2021-06-02T08:59:00Z</dcterms:created>
  <dcterms:modified xsi:type="dcterms:W3CDTF">2021-06-02T08:59:00Z</dcterms:modified>
  <cp:category>Akt prawny</cp:category>
</cp:coreProperties>
</file>