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0C5E431" w14:textId="410DC248" w:rsidR="0057199B" w:rsidRPr="0057199B" w:rsidRDefault="006137D3" w:rsidP="007F5BF6">
      <w:pPr>
        <w:tabs>
          <w:tab w:val="num" w:pos="993"/>
        </w:tabs>
        <w:jc w:val="both"/>
        <w:rPr>
          <w:rFonts w:ascii="Arial" w:hAnsi="Arial" w:cs="Arial"/>
        </w:rPr>
      </w:pPr>
      <w:r w:rsidRPr="007F5BF6">
        <w:rPr>
          <w:rFonts w:ascii="Arial" w:hAnsi="Arial" w:cs="Arial"/>
        </w:rPr>
        <w:t>P</w:t>
      </w:r>
      <w:r w:rsidR="003827FF" w:rsidRPr="007F5BF6">
        <w:rPr>
          <w:rFonts w:ascii="Arial" w:hAnsi="Arial" w:cs="Arial"/>
        </w:rPr>
        <w:t>un</w:t>
      </w:r>
      <w:r w:rsidRPr="007F5BF6">
        <w:rPr>
          <w:rFonts w:ascii="Arial" w:hAnsi="Arial" w:cs="Arial"/>
        </w:rPr>
        <w:t>kt</w:t>
      </w:r>
      <w:r w:rsidR="00412EE0" w:rsidRPr="007F5BF6">
        <w:rPr>
          <w:rFonts w:ascii="Arial" w:hAnsi="Arial" w:cs="Arial"/>
        </w:rPr>
        <w:t xml:space="preserve"> 3</w:t>
      </w:r>
      <w:r w:rsidR="007F5BF6" w:rsidRPr="007F5BF6">
        <w:rPr>
          <w:rFonts w:ascii="Arial" w:hAnsi="Arial" w:cs="Arial"/>
        </w:rPr>
        <w:t>.3</w:t>
      </w:r>
      <w:r w:rsidRPr="007F5BF6">
        <w:rPr>
          <w:rFonts w:ascii="Arial" w:hAnsi="Arial" w:cs="Arial"/>
        </w:rPr>
        <w:t xml:space="preserve"> </w:t>
      </w:r>
      <w:r w:rsidR="00E7689F" w:rsidRPr="007F5BF6">
        <w:rPr>
          <w:rFonts w:ascii="Arial" w:hAnsi="Arial" w:cs="Arial"/>
        </w:rPr>
        <w:t xml:space="preserve">Podjęcie uchwały w sprawie </w:t>
      </w:r>
      <w:r w:rsidR="007F5BF6" w:rsidRPr="007F5BF6">
        <w:rPr>
          <w:rFonts w:ascii="Arial" w:hAnsi="Arial" w:cs="Arial"/>
        </w:rPr>
        <w:t xml:space="preserve">uchylenia uchwały Nr XXXIV/465/21 Rady Miasta Piotrkowa Trybunalskiego z dnia 31 marca 2021 r. w sprawie wyrażenia zgody na </w:t>
      </w:r>
      <w:r w:rsidR="007F5BF6" w:rsidRPr="007F5BF6">
        <w:rPr>
          <w:rFonts w:ascii="Arial" w:hAnsi="Arial" w:cs="Arial"/>
          <w:bCs/>
        </w:rPr>
        <w:t xml:space="preserve">sprzedaż niezabudowanej </w:t>
      </w:r>
      <w:r w:rsidR="007F5BF6" w:rsidRPr="007F5BF6">
        <w:rPr>
          <w:rFonts w:ascii="Arial" w:hAnsi="Arial" w:cs="Arial"/>
        </w:rPr>
        <w:t xml:space="preserve">nieruchomości </w:t>
      </w:r>
      <w:r w:rsidR="007F5BF6" w:rsidRPr="007F5BF6">
        <w:rPr>
          <w:rFonts w:ascii="Arial" w:hAnsi="Arial" w:cs="Arial"/>
          <w:bCs/>
        </w:rPr>
        <w:t>położonej w Piotrkowie Trybunalskim przy ul. Spacerowej.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6EE0A1FE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517762">
        <w:rPr>
          <w:rFonts w:ascii="Arial" w:eastAsia="Times New Roman" w:hAnsi="Arial" w:cs="Arial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517762">
        <w:rPr>
          <w:rFonts w:ascii="Arial" w:eastAsia="Times New Roman" w:hAnsi="Arial" w:cs="Arial"/>
          <w:color w:val="000000" w:themeColor="text1"/>
        </w:rPr>
        <w:t>0</w:t>
      </w:r>
      <w:r w:rsidR="0039599D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517762">
        <w:rPr>
          <w:rFonts w:ascii="Arial" w:eastAsia="Times New Roman" w:hAnsi="Arial" w:cs="Arial"/>
          <w:color w:val="000000" w:themeColor="text1"/>
        </w:rPr>
        <w:t>2 wstrzymujące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E96E97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50DC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BD0FB46" w:rsidR="00A07B69" w:rsidRPr="004D6977" w:rsidRDefault="00E96E9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77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4D6977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C2C7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50DC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4DD2F94" w:rsidR="00A07B69" w:rsidRPr="004D6977" w:rsidRDefault="00E650DC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32105693" w:rsidR="00A07B69" w:rsidRPr="004D6977" w:rsidRDefault="00E96E9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E96E9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E96E9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77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272D376D" w:rsidR="00680870" w:rsidRPr="00517762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517762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C2C77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17762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7F5BF6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22464"/>
    <w:rsid w:val="00E650DC"/>
    <w:rsid w:val="00E668DC"/>
    <w:rsid w:val="00E7689F"/>
    <w:rsid w:val="00E8157B"/>
    <w:rsid w:val="00E96E97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2021-05-18T11:37:00Z</dcterms:created>
  <dcterms:modified xsi:type="dcterms:W3CDTF">2021-05-25T09:44:00Z</dcterms:modified>
</cp:coreProperties>
</file>