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8BF8E6" w14:textId="77777777" w:rsidR="00A77B3E" w:rsidRDefault="00D0248E">
      <w:pPr>
        <w:jc w:val="center"/>
        <w:rPr>
          <w:b/>
          <w:caps/>
        </w:rPr>
      </w:pPr>
      <w:r>
        <w:rPr>
          <w:b/>
          <w:caps/>
        </w:rPr>
        <w:t>Uchwała Nr XXXV/477/21</w:t>
      </w:r>
      <w:r>
        <w:rPr>
          <w:b/>
          <w:caps/>
        </w:rPr>
        <w:br/>
        <w:t>Rady Miasta Piotrkowa Trybunalskiego</w:t>
      </w:r>
    </w:p>
    <w:p w14:paraId="1DD8437B" w14:textId="77777777" w:rsidR="00A77B3E" w:rsidRDefault="00D0248E">
      <w:pPr>
        <w:spacing w:before="280" w:after="280"/>
        <w:jc w:val="center"/>
        <w:rPr>
          <w:b/>
          <w:caps/>
        </w:rPr>
      </w:pPr>
      <w:r>
        <w:t>z dnia 28 kwietnia 2021 r.</w:t>
      </w:r>
    </w:p>
    <w:p w14:paraId="0CA19ACE" w14:textId="77777777" w:rsidR="00A77B3E" w:rsidRDefault="00D0248E">
      <w:pPr>
        <w:keepNext/>
        <w:spacing w:after="480"/>
        <w:jc w:val="center"/>
      </w:pPr>
      <w:r>
        <w:rPr>
          <w:b/>
        </w:rPr>
        <w:t xml:space="preserve">w sprawie miejscowego planu zagospodarowania przestrzennego w rejonie ulic: Łódzkiej, Brzeźnickiej, </w:t>
      </w:r>
      <w:proofErr w:type="spellStart"/>
      <w:r>
        <w:rPr>
          <w:b/>
        </w:rPr>
        <w:t>Porazińskiej</w:t>
      </w:r>
      <w:proofErr w:type="spellEnd"/>
      <w:r>
        <w:rPr>
          <w:b/>
        </w:rPr>
        <w:t xml:space="preserve"> oraz projektowanego odcinka Obwodnicy </w:t>
      </w:r>
      <w:r>
        <w:rPr>
          <w:b/>
        </w:rPr>
        <w:t>Miejskiej klasy „Z”</w:t>
      </w:r>
      <w:r>
        <w:rPr>
          <w:b/>
        </w:rPr>
        <w:br/>
        <w:t>w Piotrkowie Trybunalskim</w:t>
      </w:r>
    </w:p>
    <w:p w14:paraId="2EBC9180" w14:textId="77777777" w:rsidR="00A77B3E" w:rsidRDefault="00D0248E">
      <w:pPr>
        <w:keepLines/>
        <w:spacing w:before="120" w:after="120"/>
        <w:ind w:firstLine="227"/>
      </w:pPr>
      <w:r>
        <w:t>Na podstawie art. 20 ust. 1 i art. 29 ustawy z dnia 27 marca 2003 r. o planowaniu i zagospodarowaniu przestrzennym (</w:t>
      </w:r>
      <w:proofErr w:type="spellStart"/>
      <w:r>
        <w:t>t.j</w:t>
      </w:r>
      <w:proofErr w:type="spellEnd"/>
      <w:r>
        <w:t>. Dz. U. z 2020 r. poz. 293, 471, 782, 1086, 1378, z 2021 r. poz. 11), uchwala się co nastę</w:t>
      </w:r>
      <w:r>
        <w:t>puje:</w:t>
      </w:r>
    </w:p>
    <w:p w14:paraId="1326ABFA" w14:textId="77777777" w:rsidR="00A77B3E" w:rsidRDefault="00D0248E">
      <w:pPr>
        <w:keepNext/>
        <w:keepLines/>
        <w:jc w:val="center"/>
      </w:pPr>
      <w:r>
        <w:rPr>
          <w:b/>
          <w:caps/>
        </w:rPr>
        <w:t>Dział I.</w:t>
      </w:r>
      <w:r>
        <w:br/>
      </w:r>
      <w:r>
        <w:rPr>
          <w:b/>
        </w:rPr>
        <w:t>POSTANOWIENIA OGÓLNE</w:t>
      </w:r>
    </w:p>
    <w:p w14:paraId="4DA04C71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1. </w:t>
      </w:r>
      <w:r>
        <w:t>1. </w:t>
      </w:r>
      <w:r>
        <w:t xml:space="preserve">Stwierdza się, że miejscowy plan zagospodarowania przestrzennego w rejonie ulic: Łódzkiej, Brzeźnickiej, </w:t>
      </w:r>
      <w:proofErr w:type="spellStart"/>
      <w:r>
        <w:t>Porazińskiej</w:t>
      </w:r>
      <w:proofErr w:type="spellEnd"/>
      <w:r>
        <w:t xml:space="preserve"> oraz projektowanego odcinka Obwodnicy Miejskiej klasy „Z” w Piotrkowie Trybunalskim, nie narus</w:t>
      </w:r>
      <w:r>
        <w:t xml:space="preserve">za ustaleń obowiązującego „Studium uwarunkowań i kierunków zagospodarowania przestrzennego miasta Piotrkowa Trybunalskiego” przyjętego Uchwałą Nr XLIX/837/06 Rady Miasta Piotrkowa Trybunalskiego z dnia 29 marca 2006 roku z późniejszymi zmianami przyjętymi </w:t>
      </w:r>
      <w:r>
        <w:t>Uchwałą Nr XIV/297/11 Rady Miasta Piotrkowa Trybunalskiego z dnia 30 listopada 2011 roku, Uchwałą Nr XXVII/359/16 z dnia 26 października 2016 roku i Uchwałą Nr XLVII/566/17 z dnia 25 października 2017 roku.</w:t>
      </w:r>
    </w:p>
    <w:p w14:paraId="19A174DA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Uchwala się miejscowy plan zagospodarowania pr</w:t>
      </w:r>
      <w:r>
        <w:rPr>
          <w:color w:val="000000"/>
          <w:u w:color="000000"/>
        </w:rPr>
        <w:t xml:space="preserve">zestrzennego w rejonie ulic: Łódzkiej, Brzeźnickiej, </w:t>
      </w:r>
      <w:proofErr w:type="spellStart"/>
      <w:r>
        <w:rPr>
          <w:color w:val="000000"/>
          <w:u w:color="000000"/>
        </w:rPr>
        <w:t>Porazińskiej</w:t>
      </w:r>
      <w:proofErr w:type="spellEnd"/>
      <w:r>
        <w:rPr>
          <w:color w:val="000000"/>
          <w:u w:color="000000"/>
        </w:rPr>
        <w:t xml:space="preserve"> oraz projektowanego odcinka Obwodnicy Miejskiej klasy „Z” w Piotrkowie Trybunalskim w granicach określonych w Uchwale Nr XI/171/19 Rady Miasta Piotrkowa Trybunalskiego z dnia 25 września 201</w:t>
      </w:r>
      <w:r>
        <w:rPr>
          <w:color w:val="000000"/>
          <w:u w:color="000000"/>
        </w:rPr>
        <w:t xml:space="preserve">9 roku w sprawie przystąpienia do sporządzenia miejscowego planu zagospodarowania przestrzennego w rejonie ulic: Łódzkiej, Brzeźnickiej, </w:t>
      </w:r>
      <w:proofErr w:type="spellStart"/>
      <w:r>
        <w:rPr>
          <w:color w:val="000000"/>
          <w:u w:color="000000"/>
        </w:rPr>
        <w:t>Porazińskiej</w:t>
      </w:r>
      <w:proofErr w:type="spellEnd"/>
      <w:r>
        <w:rPr>
          <w:color w:val="000000"/>
          <w:u w:color="000000"/>
        </w:rPr>
        <w:t xml:space="preserve"> oraz projektowanego odcinka Obwodnicy Miejskiej klasy „Z” w Piotrkowie Trybunalskim.</w:t>
      </w:r>
    </w:p>
    <w:p w14:paraId="620C94F4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Granice obszaru ob</w:t>
      </w:r>
      <w:r>
        <w:rPr>
          <w:color w:val="000000"/>
          <w:u w:color="000000"/>
        </w:rPr>
        <w:t>jętego planem wyznaczone są na rysunku planu.</w:t>
      </w:r>
    </w:p>
    <w:p w14:paraId="17BB329A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Integralną częścią Uchwały są:</w:t>
      </w:r>
    </w:p>
    <w:p w14:paraId="03910F3F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rysunek planu, stanowiący załącznik Nr 1 do niniejszej uchwały;</w:t>
      </w:r>
    </w:p>
    <w:p w14:paraId="6F029A6F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rozstrzygnięcie dotyczące sposobu rozpatrzenia uwag zgłoszonych do projektu planu, stanowiące </w:t>
      </w:r>
      <w:r>
        <w:rPr>
          <w:color w:val="000000"/>
          <w:u w:color="000000"/>
        </w:rPr>
        <w:t>załącznik Nr 2 do niniejszej uchwały;</w:t>
      </w:r>
    </w:p>
    <w:p w14:paraId="51EB7727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rozstrzygnięcie dotyczące sposobu realizacji, zapisanych w planie, inwestycji z zakresu infrastruktury technicznej, które należą do zadań własnych gminy oraz zasad ich finansowania, zgodnie z przepisami ustawy o fin</w:t>
      </w:r>
      <w:r>
        <w:rPr>
          <w:color w:val="000000"/>
          <w:u w:color="000000"/>
        </w:rPr>
        <w:t>ansach publicznych, stanowiące załącznik nr 3 do niniejszej uchwały;</w:t>
      </w:r>
    </w:p>
    <w:p w14:paraId="5147037C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dane przestrzenne, stanowiące załącznik nr 4 do niniejszej uchwały.</w:t>
      </w:r>
    </w:p>
    <w:p w14:paraId="2C5D909A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Przedmiotem ustaleń planu są:</w:t>
      </w:r>
    </w:p>
    <w:p w14:paraId="1C8134A5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tereny zabudowy mieszkaniowej jednorodzinnej – oznaczone na rysunku planu symbol</w:t>
      </w:r>
      <w:r>
        <w:rPr>
          <w:color w:val="000000"/>
          <w:u w:color="000000"/>
        </w:rPr>
        <w:t>em MN;</w:t>
      </w:r>
    </w:p>
    <w:p w14:paraId="23CD6979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tereny zieleni urządzonej – oznaczone na rysunku planu symbolem ZU;</w:t>
      </w:r>
    </w:p>
    <w:p w14:paraId="1A53FE08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tereny komunikacji samochodowej – parkingi – oznaczone na rysunku planu symbolem KP;</w:t>
      </w:r>
    </w:p>
    <w:p w14:paraId="23453FCA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tereny dróg publicznych – droga zbiorcza, oznaczona na rysunku planu symbolem KDZ;</w:t>
      </w:r>
    </w:p>
    <w:p w14:paraId="32ACFBC7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t</w:t>
      </w:r>
      <w:r>
        <w:rPr>
          <w:color w:val="000000"/>
          <w:u w:color="000000"/>
        </w:rPr>
        <w:t>ereny dróg publicznych – droga dojazdowa, oznaczona na rysunku planu symbolem KDD.</w:t>
      </w:r>
    </w:p>
    <w:p w14:paraId="3143E181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Rysunek planu zawiera oznaczenia obowiązujące i informacyjne, zgodnie z legendą oznaczeń zamieszczoną na rysunku planu.</w:t>
      </w:r>
    </w:p>
    <w:p w14:paraId="142ECE09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t>7. </w:t>
      </w:r>
      <w:r>
        <w:rPr>
          <w:color w:val="000000"/>
          <w:u w:color="000000"/>
        </w:rPr>
        <w:t>Położenie linii rozgraniczających i linii zabud</w:t>
      </w:r>
      <w:r>
        <w:rPr>
          <w:color w:val="000000"/>
          <w:u w:color="000000"/>
        </w:rPr>
        <w:t>owy w miejscach, które nie zostały zwymiarowane na rysunku planu należy ustalać poprzez odczyt rysunku planu w oparciu o jego skalę.</w:t>
      </w:r>
    </w:p>
    <w:p w14:paraId="62A2DD46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t>1. </w:t>
      </w:r>
      <w:r>
        <w:rPr>
          <w:color w:val="000000"/>
          <w:u w:color="000000"/>
        </w:rPr>
        <w:t>Następujące oznaczenia graficzne na rysunku planu są obowiązującymi ustaleniami planu:</w:t>
      </w:r>
    </w:p>
    <w:p w14:paraId="1D0FB480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granica obszaru </w:t>
      </w:r>
      <w:r>
        <w:rPr>
          <w:color w:val="000000"/>
          <w:u w:color="000000"/>
        </w:rPr>
        <w:t>objętego miejscowym planem zagospodarowania przestrzennego;</w:t>
      </w:r>
    </w:p>
    <w:p w14:paraId="7E8C65D1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2) </w:t>
      </w:r>
      <w:r>
        <w:rPr>
          <w:color w:val="000000"/>
          <w:u w:color="000000"/>
        </w:rPr>
        <w:t>linie rozgraniczające tereny o różnym przeznaczeniu lub różnych zasadach zagospodarowania;</w:t>
      </w:r>
    </w:p>
    <w:p w14:paraId="6B2B0287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nieprzekraczalna linia zabudowy;</w:t>
      </w:r>
    </w:p>
    <w:p w14:paraId="6C0CDBC4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tereny zabudowy mieszkaniowej jednorodzinnej;</w:t>
      </w:r>
    </w:p>
    <w:p w14:paraId="4457EF9B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tereny zieleni</w:t>
      </w:r>
      <w:r>
        <w:rPr>
          <w:color w:val="000000"/>
          <w:u w:color="000000"/>
        </w:rPr>
        <w:t xml:space="preserve"> urządzonej;</w:t>
      </w:r>
    </w:p>
    <w:p w14:paraId="7C8FDB75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tereny komunikacji – parkingi;</w:t>
      </w:r>
    </w:p>
    <w:p w14:paraId="35E302A7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tereny dróg publicznych – droga zbiorcza;</w:t>
      </w:r>
    </w:p>
    <w:p w14:paraId="60E990EA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tereny dróg publicznych – droga dojazdowa;</w:t>
      </w:r>
    </w:p>
    <w:p w14:paraId="7B694F73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strefa ograniczonego użytkowania od napowietrznej linii elektroenergetycznej LN 110 </w:t>
      </w:r>
      <w:proofErr w:type="spellStart"/>
      <w:r>
        <w:rPr>
          <w:color w:val="000000"/>
          <w:u w:color="000000"/>
        </w:rPr>
        <w:t>kV</w:t>
      </w:r>
      <w:proofErr w:type="spellEnd"/>
      <w:r>
        <w:rPr>
          <w:color w:val="000000"/>
          <w:u w:color="000000"/>
        </w:rPr>
        <w:t>;</w:t>
      </w:r>
    </w:p>
    <w:p w14:paraId="1219E4F1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strefa ograniczonego uż</w:t>
      </w:r>
      <w:r>
        <w:rPr>
          <w:color w:val="000000"/>
          <w:u w:color="000000"/>
        </w:rPr>
        <w:t>ytkowania od napowietrznej linii elektroenergetycznej LN 15 </w:t>
      </w:r>
      <w:proofErr w:type="spellStart"/>
      <w:r>
        <w:rPr>
          <w:color w:val="000000"/>
          <w:u w:color="000000"/>
        </w:rPr>
        <w:t>kV</w:t>
      </w:r>
      <w:proofErr w:type="spellEnd"/>
      <w:r>
        <w:rPr>
          <w:color w:val="000000"/>
          <w:u w:color="000000"/>
        </w:rPr>
        <w:t>;</w:t>
      </w:r>
    </w:p>
    <w:p w14:paraId="0670B644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>napowietrzna linia elektroenergetyczna LN 110 </w:t>
      </w:r>
      <w:proofErr w:type="spellStart"/>
      <w:r>
        <w:rPr>
          <w:color w:val="000000"/>
          <w:u w:color="000000"/>
        </w:rPr>
        <w:t>kV</w:t>
      </w:r>
      <w:proofErr w:type="spellEnd"/>
      <w:r>
        <w:rPr>
          <w:color w:val="000000"/>
          <w:u w:color="000000"/>
        </w:rPr>
        <w:t>;</w:t>
      </w:r>
    </w:p>
    <w:p w14:paraId="2D0CF179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12) </w:t>
      </w:r>
      <w:r>
        <w:rPr>
          <w:color w:val="000000"/>
          <w:u w:color="000000"/>
        </w:rPr>
        <w:t>napowietrzna linia elektroenergetyczna LN 15 </w:t>
      </w:r>
      <w:proofErr w:type="spellStart"/>
      <w:r>
        <w:rPr>
          <w:color w:val="000000"/>
          <w:u w:color="000000"/>
        </w:rPr>
        <w:t>kV</w:t>
      </w:r>
      <w:proofErr w:type="spellEnd"/>
      <w:r>
        <w:rPr>
          <w:color w:val="000000"/>
          <w:u w:color="000000"/>
        </w:rPr>
        <w:t>;</w:t>
      </w:r>
    </w:p>
    <w:p w14:paraId="64986D38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13) </w:t>
      </w:r>
      <w:r>
        <w:rPr>
          <w:color w:val="000000"/>
          <w:u w:color="000000"/>
        </w:rPr>
        <w:t>zieleń izolacyjna.</w:t>
      </w:r>
    </w:p>
    <w:p w14:paraId="46A2FB60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Pozostałe oznaczenia graficzne na rysunku planu nie wymieni</w:t>
      </w:r>
      <w:r>
        <w:rPr>
          <w:color w:val="000000"/>
          <w:u w:color="000000"/>
        </w:rPr>
        <w:t>one w ust. 1 są oznaczeniami informacyjnymi.</w:t>
      </w:r>
    </w:p>
    <w:p w14:paraId="75925947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3. </w:t>
      </w:r>
      <w:r>
        <w:rPr>
          <w:color w:val="000000"/>
          <w:u w:color="000000"/>
        </w:rPr>
        <w:t>Ilekroć w przepisach niniejszej uchwały jest mowa o:</w:t>
      </w:r>
    </w:p>
    <w:p w14:paraId="0A77FCF8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linii rozgraniczającej tereny o różnym przeznaczeniu lub różnych zasadach zagospodarowania – należy przez to rozumieć oznaczoną na rysunku planu </w:t>
      </w:r>
      <w:r>
        <w:rPr>
          <w:color w:val="000000"/>
          <w:u w:color="000000"/>
        </w:rPr>
        <w:t>linię ciągłą, dzielącą obszar na części o różnym przeznaczeniu lub różnych zasadach zagospodarowania;</w:t>
      </w:r>
    </w:p>
    <w:p w14:paraId="38307975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nieprzekraczalnej linii zabudowy – należy przez to rozumieć oznaczoną na rysunku planu linię graniczną sytuowania nadziemnych kondygnacji budynków, alt</w:t>
      </w:r>
      <w:r>
        <w:rPr>
          <w:color w:val="000000"/>
          <w:u w:color="000000"/>
        </w:rPr>
        <w:t>an i wiat; dopuszcza się przekroczenie tej linii o elementy wystroju architektonicznego, elementy ustrojów na stałe związanych z konstrukcją budynku na odległość do 1,0 m;</w:t>
      </w:r>
    </w:p>
    <w:p w14:paraId="36B03C4B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obszarze planu – należy przez to rozumieć obszar objęty planem w granicach przeds</w:t>
      </w:r>
      <w:r>
        <w:rPr>
          <w:color w:val="000000"/>
          <w:u w:color="000000"/>
        </w:rPr>
        <w:t>tawionych na rysunku planu;</w:t>
      </w:r>
    </w:p>
    <w:p w14:paraId="2205EB54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powierzchni zabudowy – należy przez to rozumieć powierzchnię działki budowlanej zajętą przez rzuty poziome wszystkich budynków w ich obrysach zewnętrznych, przy czym do powierzchni zabudowy nie wlicza się powierzchni elementó</w:t>
      </w:r>
      <w:r>
        <w:rPr>
          <w:color w:val="000000"/>
          <w:u w:color="000000"/>
        </w:rPr>
        <w:t>w takich jak: schody i pochylnie zewnętrzne, tarasy naziemne, rampy zewnętrzne, daszki, okapy dachowe, występy dachowe, podziemne części budynków, studzienki piwniczne, powierzchnie pod daszkami ochronnymi;</w:t>
      </w:r>
    </w:p>
    <w:p w14:paraId="5821C670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rysunku planu – należy przez to rozumieć oprac</w:t>
      </w:r>
      <w:r>
        <w:rPr>
          <w:color w:val="000000"/>
          <w:u w:color="000000"/>
        </w:rPr>
        <w:t>owanie graficzne sporządzone na urzędowej kopii mapy zasadniczej, pochodzącej z państwowego zasobu geodezyjnego i kartograficznego w skali 1:1000;</w:t>
      </w:r>
    </w:p>
    <w:p w14:paraId="22C6971F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terenie – należy przez to rozumieć teren wyznaczony na rysunku planu liniami rozgraniczającymi tereny o ró</w:t>
      </w:r>
      <w:r>
        <w:rPr>
          <w:color w:val="000000"/>
          <w:u w:color="000000"/>
        </w:rPr>
        <w:t>żnym przeznaczeniu lub różnych zasadach zagospodarowania oraz oznaczony symbolami cyfrowymi i literowymi, z których cyfry oznaczają kolejny numer terenu, a litery jego przeznaczenie;</w:t>
      </w:r>
    </w:p>
    <w:p w14:paraId="37A05156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wskaźniku intensywności zabudowy – należy przez to rozumieć stosunek s</w:t>
      </w:r>
      <w:r>
        <w:rPr>
          <w:color w:val="000000"/>
          <w:u w:color="000000"/>
        </w:rPr>
        <w:t>umy powierzchni całkowitych (wszystkich kondygnacji nadziemnych) wszystkich budynków położonych na działce budowalnej do powierzchni działki budowlanej;</w:t>
      </w:r>
    </w:p>
    <w:p w14:paraId="1C5D1840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 xml:space="preserve">wysokości zabudowy – należy przez to rozumieć ustalony w planie nieprzekraczalny maksymalny pionowy </w:t>
      </w:r>
      <w:r>
        <w:rPr>
          <w:color w:val="000000"/>
          <w:u w:color="000000"/>
        </w:rPr>
        <w:t>wymiar obiektu budowlanego, liczony w metrach, od najniższego  poziomu terenu, na którym posadowiony jest obiekt budowlany do najwyższego jego punktu;</w:t>
      </w:r>
    </w:p>
    <w:p w14:paraId="3A781815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zieleń izolacyjna – należy przez to rozumieć pas zwartej zieleni wielopiętrowej, w tym wysokiej, złożo</w:t>
      </w:r>
      <w:r>
        <w:rPr>
          <w:color w:val="000000"/>
          <w:u w:color="000000"/>
        </w:rPr>
        <w:t>ny z gatunków roślin odpornych na zanieczyszczenia, stanowiący izolację akustyczną i ochronną przed zanieczyszczeniami.</w:t>
      </w:r>
    </w:p>
    <w:p w14:paraId="2C40A663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4. </w:t>
      </w:r>
      <w:r>
        <w:rPr>
          <w:color w:val="000000"/>
          <w:u w:color="000000"/>
        </w:rPr>
        <w:t>Dla obszaru, o którym mowa w §1, plan ustala:</w:t>
      </w:r>
    </w:p>
    <w:p w14:paraId="473BE5C0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terenów oraz linie rozgraniczające tereny o różnym przeznaczeniu lub</w:t>
      </w:r>
      <w:r>
        <w:rPr>
          <w:color w:val="000000"/>
          <w:u w:color="000000"/>
        </w:rPr>
        <w:t> różnych zasadach zagospodarowania;</w:t>
      </w:r>
    </w:p>
    <w:p w14:paraId="5FE9E305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2) </w:t>
      </w:r>
      <w:r>
        <w:rPr>
          <w:color w:val="000000"/>
          <w:u w:color="000000"/>
        </w:rPr>
        <w:t>zasady ochrony i kształtowania ładu przestrzennego;</w:t>
      </w:r>
    </w:p>
    <w:p w14:paraId="2AB722B7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zasady ochrony środowiska i przyrody;</w:t>
      </w:r>
    </w:p>
    <w:p w14:paraId="4EBB8F89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zasady kształtowania zabudowy oraz wskaźniki zagospodarowania terenu:</w:t>
      </w:r>
    </w:p>
    <w:p w14:paraId="0C7E586F" w14:textId="77777777" w:rsidR="00A77B3E" w:rsidRDefault="00D0248E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 xml:space="preserve">maksymalną i minimalną intensywność </w:t>
      </w:r>
      <w:r>
        <w:rPr>
          <w:color w:val="000000"/>
          <w:u w:color="000000"/>
        </w:rPr>
        <w:t>zabudowy, jako wskaźnik powierzchni całkowitej zabudowy w odniesieniu do powierzchni działki budowlanej,</w:t>
      </w:r>
    </w:p>
    <w:p w14:paraId="66134FBF" w14:textId="77777777" w:rsidR="00A77B3E" w:rsidRDefault="00D0248E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minimalny udział procentowy powierzchni biologicznie czynnej w odniesieniu do powierzchni działki budowlanej,</w:t>
      </w:r>
    </w:p>
    <w:p w14:paraId="0DE73FC9" w14:textId="77777777" w:rsidR="00A77B3E" w:rsidRDefault="00D0248E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maksymalną wysokość zabudowy,</w:t>
      </w:r>
    </w:p>
    <w:p w14:paraId="7B86BCFC" w14:textId="77777777" w:rsidR="00A77B3E" w:rsidRDefault="00D0248E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mi</w:t>
      </w:r>
      <w:r>
        <w:rPr>
          <w:color w:val="000000"/>
          <w:u w:color="000000"/>
        </w:rPr>
        <w:t>nimalną liczbę miejsc do parkowania (</w:t>
      </w:r>
      <w:proofErr w:type="spellStart"/>
      <w:r>
        <w:rPr>
          <w:color w:val="000000"/>
          <w:u w:color="000000"/>
        </w:rPr>
        <w:t>mp</w:t>
      </w:r>
      <w:proofErr w:type="spellEnd"/>
      <w:r>
        <w:rPr>
          <w:color w:val="000000"/>
          <w:u w:color="000000"/>
        </w:rPr>
        <w:t>), w tym miejsca przeznaczone na parkowanie pojazdów zaopatrzonych w kartę parkingową i sposób ich realizacji,</w:t>
      </w:r>
    </w:p>
    <w:p w14:paraId="7B0D0DDF" w14:textId="77777777" w:rsidR="00A77B3E" w:rsidRDefault="00D0248E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linie zabudowy i gabaryty obiektów;</w:t>
      </w:r>
    </w:p>
    <w:p w14:paraId="3EDA2DCE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szczegółowe zasady i warunki scalenia i podziału nieruchomości o</w:t>
      </w:r>
      <w:r>
        <w:rPr>
          <w:color w:val="000000"/>
          <w:u w:color="000000"/>
        </w:rPr>
        <w:t>bjętych planem miejscowym;</w:t>
      </w:r>
    </w:p>
    <w:p w14:paraId="531C132C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minimalną powierzchnię nowo wydzielonych działek budowlanych;</w:t>
      </w:r>
    </w:p>
    <w:p w14:paraId="771868EE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szczególne warunki zagospodarowania terenów oraz ograniczenia w ich użytkowaniu, w tym zakaz zabudowy;</w:t>
      </w:r>
    </w:p>
    <w:p w14:paraId="7E7E6C84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zasady modernizacji, przebudowy, rozbudowy i budowy sys</w:t>
      </w:r>
      <w:r>
        <w:rPr>
          <w:color w:val="000000"/>
          <w:u w:color="000000"/>
        </w:rPr>
        <w:t>temu komunikacji i infrastruktury technicznej;</w:t>
      </w:r>
    </w:p>
    <w:p w14:paraId="5316001C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sposoby i terminy tymczasowego zagospodarowania, urządzania i użytkowania terenów;</w:t>
      </w:r>
    </w:p>
    <w:p w14:paraId="0E0F0B44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stawki procentowe, na podstawie których ustala się opłatę od wzrostu wartości nieruchomości w związku z </w:t>
      </w:r>
      <w:r>
        <w:rPr>
          <w:color w:val="000000"/>
          <w:u w:color="000000"/>
        </w:rPr>
        <w:t>uchwaleniem planu.</w:t>
      </w:r>
    </w:p>
    <w:p w14:paraId="722FE20D" w14:textId="77777777" w:rsidR="00A77B3E" w:rsidRDefault="00D0248E">
      <w:pPr>
        <w:keepNext/>
        <w:jc w:val="center"/>
        <w:rPr>
          <w:color w:val="000000"/>
          <w:u w:color="000000"/>
        </w:rPr>
      </w:pPr>
      <w:r>
        <w:rPr>
          <w:b/>
          <w:caps/>
        </w:rPr>
        <w:t>Dział II.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DLA CAŁEGO OBSZARU OBJĘTEGO PLANEM</w:t>
      </w:r>
    </w:p>
    <w:p w14:paraId="32000F53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5. </w:t>
      </w:r>
      <w:r>
        <w:t>1. </w:t>
      </w:r>
      <w:r>
        <w:rPr>
          <w:color w:val="000000"/>
          <w:u w:color="000000"/>
        </w:rPr>
        <w:t>Zasady ochrony i kształtowania ładu przestrzennego:</w:t>
      </w:r>
    </w:p>
    <w:p w14:paraId="4758ADB5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przy rozbudowie, nadbudowie, przebudowie i zmianie sposobu użytkowania obiektów budowalnych, obowiązują ustalenia szcze</w:t>
      </w:r>
      <w:r>
        <w:rPr>
          <w:color w:val="000000"/>
          <w:u w:color="000000"/>
        </w:rPr>
        <w:t>gółowe dla poszczególnych terenów.</w:t>
      </w:r>
    </w:p>
    <w:p w14:paraId="300CC854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Zasady ochrony środowiska, przyrody i krajobrazu:</w:t>
      </w:r>
    </w:p>
    <w:p w14:paraId="756E149B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realizacji przedsięwzięć mogących zawsze znacząco i potencjalnie znacząco oddziaływać na środowisko, z wyjątkiem inwestycji celu publicznego z zakresu telekomu</w:t>
      </w:r>
      <w:r>
        <w:rPr>
          <w:color w:val="000000"/>
          <w:u w:color="000000"/>
        </w:rPr>
        <w:t>nikacji, infrastruktury drogowej i technicznej;</w:t>
      </w:r>
    </w:p>
    <w:p w14:paraId="1B197333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obowiązek zachowania poziomu hałasu w środowisku określonego w obowiązujących przepisach o ochronie środowiska podlegają:</w:t>
      </w:r>
    </w:p>
    <w:p w14:paraId="3A652CCA" w14:textId="77777777" w:rsidR="00A77B3E" w:rsidRDefault="00D0248E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tereny oznaczone symbolem MN – jak dla zabudowy mieszkaniowej jednorodzinnej,</w:t>
      </w:r>
    </w:p>
    <w:p w14:paraId="5674233D" w14:textId="77777777" w:rsidR="00A77B3E" w:rsidRDefault="00D0248E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</w:t>
      </w:r>
      <w:r>
        <w:t> </w:t>
      </w:r>
      <w:r>
        <w:rPr>
          <w:color w:val="000000"/>
          <w:u w:color="000000"/>
        </w:rPr>
        <w:t>pozostałe tereny nie są normowane akustycznie.</w:t>
      </w:r>
    </w:p>
    <w:p w14:paraId="4078BD8B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ochrony dziedzictwa kulturowego i zabytków oraz dóbr kultury współczesnej:</w:t>
      </w:r>
    </w:p>
    <w:p w14:paraId="730C43ED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na obszarze planu nie występują obiekty dziedzictwa kulturowego i zabytków oraz dóbr kultury współczesnej, wobec czego p</w:t>
      </w:r>
      <w:r>
        <w:rPr>
          <w:color w:val="000000"/>
          <w:u w:color="000000"/>
        </w:rPr>
        <w:t>lan nie ustala wymagań w tym zakresie.</w:t>
      </w:r>
    </w:p>
    <w:p w14:paraId="3896D169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Wymagania wynikające z kształtowania przestrzeni publicznych:</w:t>
      </w:r>
    </w:p>
    <w:p w14:paraId="0CEC7BCB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do przestrzeni publicznych zalicza się:</w:t>
      </w:r>
    </w:p>
    <w:p w14:paraId="6755DBA2" w14:textId="77777777" w:rsidR="00A77B3E" w:rsidRDefault="00D0248E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tereny dróg publicznych oznaczone na rysunku planu symbolami 1KDZ, 2KDZ, 3KDZ, 1KDD i 2KDD,</w:t>
      </w:r>
    </w:p>
    <w:p w14:paraId="63D7BB3A" w14:textId="77777777" w:rsidR="00A77B3E" w:rsidRDefault="00D0248E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teren </w:t>
      </w:r>
      <w:r>
        <w:rPr>
          <w:color w:val="000000"/>
          <w:u w:color="000000"/>
        </w:rPr>
        <w:t>zieleni urządzonej oznaczony na rysunku planu symbolem 1ZU;</w:t>
      </w:r>
    </w:p>
    <w:p w14:paraId="6636970E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przestrzeni publicznych ustala się stosowanie jednorodnych nawierzchni dla ciągów pieszych i chodników, przy czym zakazuje się stosowania asfaltów jako ich nawierzchni;</w:t>
      </w:r>
    </w:p>
    <w:p w14:paraId="574DDF02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plan nie wyznacza</w:t>
      </w:r>
      <w:r>
        <w:rPr>
          <w:color w:val="000000"/>
          <w:u w:color="000000"/>
        </w:rPr>
        <w:t xml:space="preserve"> obszarów przestrzeni publicznych.</w:t>
      </w:r>
    </w:p>
    <w:p w14:paraId="61713148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lastRenderedPageBreak/>
        <w:t>5. </w:t>
      </w:r>
      <w:r>
        <w:rPr>
          <w:color w:val="000000"/>
          <w:u w:color="000000"/>
        </w:rPr>
        <w:t>Granice i sposoby zagospodarowania terenów lub obiektów podlegających ochronie, ustalonych na podstawie odrębnych przepisów, w tym terenów górniczych, a także narażonych na niebezpieczeństwo powodzi oraz zagrożonych os</w:t>
      </w:r>
      <w:r>
        <w:rPr>
          <w:color w:val="000000"/>
          <w:u w:color="000000"/>
        </w:rPr>
        <w:t>uwaniem się mas ziemnych:</w:t>
      </w:r>
    </w:p>
    <w:p w14:paraId="4E7C8407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obszar objęty planem nie leży na terenach górniczych, wobec czego plan nie nakłada wymagań w tym zakresie;</w:t>
      </w:r>
    </w:p>
    <w:p w14:paraId="19E1D776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obszar objęty planem nie jest narażony na niebezpieczeństwo powodzi, wobec czego plan nie nakłada wymagań w tym </w:t>
      </w:r>
      <w:r>
        <w:rPr>
          <w:color w:val="000000"/>
          <w:u w:color="000000"/>
        </w:rPr>
        <w:t>zakresie;</w:t>
      </w:r>
    </w:p>
    <w:p w14:paraId="08139852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na obszarze objętym planem nie występują zjawiska związane z osuwaniem się mas ziemnych, wobec czego plan nie nakłada wymagań w tym zakresie.</w:t>
      </w:r>
    </w:p>
    <w:p w14:paraId="72C73C15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Zasady przebudowy (modernizacji), rozbudowy i budowy infrastruktury technicznej:</w:t>
      </w:r>
    </w:p>
    <w:p w14:paraId="6058D79B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powiązanie ist</w:t>
      </w:r>
      <w:r>
        <w:rPr>
          <w:color w:val="000000"/>
          <w:u w:color="000000"/>
        </w:rPr>
        <w:t>niejących i projektowanych sieci infrastruktury technicznej obszaru planu z układem sieci miejskich realizowane poprzez ich rozbudowę;</w:t>
      </w:r>
    </w:p>
    <w:p w14:paraId="4B543764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przebudowę i budowę sieci i urządzeń infrastruktury technicznej;</w:t>
      </w:r>
    </w:p>
    <w:p w14:paraId="78DDC83F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zakaz lokalizacji urządzeń wytwarzaj</w:t>
      </w:r>
      <w:r>
        <w:rPr>
          <w:color w:val="000000"/>
          <w:u w:color="000000"/>
        </w:rPr>
        <w:t xml:space="preserve">ących energię z odnawialnych źródeł energii wykorzystujących siłę wiatru oraz wytwarzających energię z biogazu lub </w:t>
      </w:r>
      <w:proofErr w:type="spellStart"/>
      <w:r>
        <w:rPr>
          <w:color w:val="000000"/>
          <w:u w:color="000000"/>
        </w:rPr>
        <w:t>biopłynów</w:t>
      </w:r>
      <w:proofErr w:type="spellEnd"/>
      <w:r>
        <w:rPr>
          <w:color w:val="000000"/>
          <w:u w:color="000000"/>
        </w:rPr>
        <w:t xml:space="preserve"> na całym obszarze objętym planem;</w:t>
      </w:r>
    </w:p>
    <w:p w14:paraId="6F581FAE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zakaz lokalizacji urządzeń wytwarzających energię z odnawialnych źródeł energii o mocy przekra</w:t>
      </w:r>
      <w:r>
        <w:rPr>
          <w:color w:val="000000"/>
          <w:u w:color="000000"/>
        </w:rPr>
        <w:t xml:space="preserve">czającej moc </w:t>
      </w:r>
      <w:proofErr w:type="spellStart"/>
      <w:r>
        <w:rPr>
          <w:color w:val="000000"/>
          <w:u w:color="000000"/>
        </w:rPr>
        <w:t>mikroinstalacji</w:t>
      </w:r>
      <w:proofErr w:type="spellEnd"/>
      <w:r>
        <w:rPr>
          <w:color w:val="000000"/>
          <w:u w:color="000000"/>
        </w:rPr>
        <w:t>;</w:t>
      </w:r>
    </w:p>
    <w:p w14:paraId="22C44DB9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zakaz lokalizacji urządzeń wytwarzających energię z odnawialnych źródeł energii o mocy przekraczającej 100 </w:t>
      </w:r>
      <w:proofErr w:type="spellStart"/>
      <w:r>
        <w:rPr>
          <w:color w:val="000000"/>
          <w:u w:color="000000"/>
        </w:rPr>
        <w:t>kW.</w:t>
      </w:r>
      <w:proofErr w:type="spellEnd"/>
    </w:p>
    <w:p w14:paraId="5FE68141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t>7. </w:t>
      </w:r>
      <w:r>
        <w:rPr>
          <w:color w:val="000000"/>
          <w:u w:color="000000"/>
        </w:rPr>
        <w:t>Ustala się następujące zasady zagospodarowania i wyposażenia terenów w zakresie obronności i w sytuacjach kry</w:t>
      </w:r>
      <w:r>
        <w:rPr>
          <w:color w:val="000000"/>
          <w:u w:color="000000"/>
        </w:rPr>
        <w:t>zysowych:</w:t>
      </w:r>
    </w:p>
    <w:p w14:paraId="28F98CA8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zaopatrzenie w wodę, gaz, energię elektryczną i cieplną, winno następować równolegle z powstającą zabudową;</w:t>
      </w:r>
    </w:p>
    <w:p w14:paraId="0895CE0B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obowiązek zapewnienia wykorzystania dróg publicznych i terenów zieleni urządzonej do celów p. </w:t>
      </w:r>
      <w:proofErr w:type="spellStart"/>
      <w:r>
        <w:rPr>
          <w:color w:val="000000"/>
          <w:u w:color="000000"/>
        </w:rPr>
        <w:t>poż</w:t>
      </w:r>
      <w:proofErr w:type="spellEnd"/>
      <w:r>
        <w:rPr>
          <w:color w:val="000000"/>
          <w:u w:color="000000"/>
        </w:rPr>
        <w:t>., dla sprzętu ratowniczego i w syt</w:t>
      </w:r>
      <w:r>
        <w:rPr>
          <w:color w:val="000000"/>
          <w:u w:color="000000"/>
        </w:rPr>
        <w:t>uacjach kryzysowych;</w:t>
      </w:r>
    </w:p>
    <w:p w14:paraId="760E3AA2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ochrona przeciwpożarowa obiektów budowlanych poprzez hydranty lub zbiorniki przeciwpożarowe, montowane na sieci wodociągowej zgodnie z przepisami odrębnymi.</w:t>
      </w:r>
    </w:p>
    <w:p w14:paraId="1AEC535D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t>8. </w:t>
      </w:r>
      <w:r>
        <w:rPr>
          <w:color w:val="000000"/>
          <w:u w:color="000000"/>
        </w:rPr>
        <w:t xml:space="preserve">Sposób i termin tymczasowego zagospodarowania, urządzania i użytkowania </w:t>
      </w:r>
      <w:r>
        <w:rPr>
          <w:color w:val="000000"/>
          <w:u w:color="000000"/>
        </w:rPr>
        <w:t>terenów:</w:t>
      </w:r>
    </w:p>
    <w:p w14:paraId="7746C9A9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tereny oraz budynki i budowle na nich zlokalizowane mogą być użytkowane w sposób dotychczasowy, do czasu realizacji zagospodarowania terenu zgodnie z ustaleniami planu;</w:t>
      </w:r>
    </w:p>
    <w:p w14:paraId="71B33F0B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nie ustala się innego sposobu tymczasowego zagospodarowania aniżeli doty</w:t>
      </w:r>
      <w:r>
        <w:rPr>
          <w:color w:val="000000"/>
          <w:u w:color="000000"/>
        </w:rPr>
        <w:t>chczasowy.</w:t>
      </w:r>
    </w:p>
    <w:p w14:paraId="04868382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t>9. </w:t>
      </w:r>
      <w:r>
        <w:rPr>
          <w:color w:val="000000"/>
          <w:u w:color="000000"/>
        </w:rPr>
        <w:t>Szczegółowe zasady i warunki scalania i podziału nieruchomości:</w:t>
      </w:r>
    </w:p>
    <w:p w14:paraId="376FC51B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warunki scalania i podziału nieruchomości określono w Dziale III.</w:t>
      </w:r>
    </w:p>
    <w:p w14:paraId="55E95D19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t>10. </w:t>
      </w:r>
      <w:r>
        <w:rPr>
          <w:color w:val="000000"/>
          <w:u w:color="000000"/>
        </w:rPr>
        <w:t xml:space="preserve">Ustala się następującą wysokość jednorazowej opłaty określoną w stosunku procentowym do wzrostu </w:t>
      </w:r>
      <w:r>
        <w:rPr>
          <w:color w:val="000000"/>
          <w:u w:color="000000"/>
        </w:rPr>
        <w:t>wartości nieruchomości - renta planistyczna, która wynosi:</w:t>
      </w:r>
    </w:p>
    <w:p w14:paraId="74A55C13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30% dla terenów MN;</w:t>
      </w:r>
    </w:p>
    <w:p w14:paraId="06CA367F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pozostałych terenów wyznaczonych w planie nie stwierdza się wzrostu wartości nieruchomości.</w:t>
      </w:r>
    </w:p>
    <w:p w14:paraId="169967B4" w14:textId="77777777" w:rsidR="00A77B3E" w:rsidRDefault="00D0248E">
      <w:pPr>
        <w:keepNext/>
        <w:jc w:val="center"/>
        <w:rPr>
          <w:color w:val="000000"/>
          <w:u w:color="000000"/>
        </w:rPr>
      </w:pPr>
      <w:r>
        <w:rPr>
          <w:b/>
          <w:caps/>
        </w:rPr>
        <w:t>Dział III.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SZCZEGÓŁOWE DLA POSZCZEGÓLNYCH TERENÓW</w:t>
      </w:r>
    </w:p>
    <w:p w14:paraId="162C1566" w14:textId="77777777" w:rsidR="00A77B3E" w:rsidRDefault="00D0248E">
      <w:pPr>
        <w:keepNext/>
        <w:jc w:val="center"/>
        <w:rPr>
          <w:color w:val="000000"/>
          <w:u w:color="000000"/>
        </w:rPr>
      </w:pPr>
      <w:r>
        <w:rPr>
          <w:b/>
        </w:rPr>
        <w:t>Rozdział 1.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dotyczące terenów zabudowy</w:t>
      </w:r>
    </w:p>
    <w:p w14:paraId="343D9597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6.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>1MN</w:t>
      </w:r>
      <w:r>
        <w:rPr>
          <w:color w:val="000000"/>
          <w:u w:color="000000"/>
        </w:rPr>
        <w:t xml:space="preserve"> – zabudowa mieszkaniowa jednorodzinna wolnostojąca.</w:t>
      </w:r>
    </w:p>
    <w:p w14:paraId="39A089CA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Zasady ochrony i kształtowania ładu przestrzennego:</w:t>
      </w:r>
    </w:p>
    <w:p w14:paraId="5ED2CC3E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1) </w:t>
      </w:r>
      <w:r>
        <w:rPr>
          <w:color w:val="000000"/>
          <w:u w:color="000000"/>
        </w:rPr>
        <w:t>dopuszcza się lokalizację wolnostojących b</w:t>
      </w:r>
      <w:r>
        <w:rPr>
          <w:color w:val="000000"/>
          <w:u w:color="000000"/>
        </w:rPr>
        <w:t>udynków gospodarczych i garażowych wyłącznie jako towarzyszących zabudowie mieszkaniowej;</w:t>
      </w:r>
    </w:p>
    <w:p w14:paraId="57F259C3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nie dopuszcza się sytuowania budynków mieszkalnych w odległości 1,5 m od granicy lub bezpośrednio przy granicy z sąsiednimi działkami budowlanymi;</w:t>
      </w:r>
    </w:p>
    <w:p w14:paraId="076A759F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dopuszcza się</w:t>
      </w:r>
      <w:r>
        <w:rPr>
          <w:color w:val="000000"/>
          <w:u w:color="000000"/>
        </w:rPr>
        <w:t xml:space="preserve"> sytuowanie budynków gospodarczych i garażowych w odległości 1,5 m od granicy lub bezpośrednio przy granicy z sąsiednimi działkami budowlanymi;</w:t>
      </w:r>
    </w:p>
    <w:p w14:paraId="1A2EF7D5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zakaz lokalizacji budynków gospodarczych i garażowych o konstrukcji blaszanych;</w:t>
      </w:r>
    </w:p>
    <w:p w14:paraId="16E65A28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dla części budynku niespeł</w:t>
      </w:r>
      <w:r>
        <w:rPr>
          <w:color w:val="000000"/>
          <w:u w:color="000000"/>
        </w:rPr>
        <w:t>niającej warunku lokalizacji względem nieprzekraczalnej linii zabudowy dopuszcza się remonty i przebudowę;</w:t>
      </w:r>
    </w:p>
    <w:p w14:paraId="1E1D77B7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ustala się minimalną powierzchnię nowo wydzielonych działek budowlanych: 600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14:paraId="6B867062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 xml:space="preserve">Zasady kształtowania zabudowy oraz wskaźniki zagospodarowania </w:t>
      </w:r>
      <w:r>
        <w:rPr>
          <w:color w:val="000000"/>
          <w:u w:color="000000"/>
        </w:rPr>
        <w:t>terenu:</w:t>
      </w:r>
    </w:p>
    <w:p w14:paraId="1F9255B1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obowiązuje lokalizacja zabudowy zgodnie z nieprzekraczalną linią zabudowy;</w:t>
      </w:r>
    </w:p>
    <w:p w14:paraId="4BEE24F7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wskaźnik intensywności zabudowy: od 0,1 do 0,6;</w:t>
      </w:r>
    </w:p>
    <w:p w14:paraId="0A0D0461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maksymalną wielkość powierzchni zabudowy na działce w stosunku do powierzchni działki budowlan</w:t>
      </w:r>
      <w:r>
        <w:rPr>
          <w:color w:val="000000"/>
          <w:u w:color="000000"/>
        </w:rPr>
        <w:t>ej – do 40%;</w:t>
      </w:r>
    </w:p>
    <w:p w14:paraId="306DBF40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ustala się minimalny udział powierzchni biologicznie czynnej w odniesieniu do powierzchni działki budowlanej – 40%;</w:t>
      </w:r>
    </w:p>
    <w:p w14:paraId="7D4ED50F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obowiązuje zapewnienie odpowiedniej ilości miejsc do parkowania (</w:t>
      </w:r>
      <w:proofErr w:type="spellStart"/>
      <w:r>
        <w:rPr>
          <w:color w:val="000000"/>
          <w:u w:color="000000"/>
        </w:rPr>
        <w:t>mp</w:t>
      </w:r>
      <w:proofErr w:type="spellEnd"/>
      <w:r>
        <w:rPr>
          <w:color w:val="000000"/>
          <w:u w:color="000000"/>
        </w:rPr>
        <w:t>) w ramach działki budowlanej nie mniejszej niż:</w:t>
      </w:r>
    </w:p>
    <w:p w14:paraId="5450A658" w14:textId="77777777" w:rsidR="00A77B3E" w:rsidRDefault="00D0248E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terenów przeznaczonych pod zabudowę mieszkaniową jednorodzinną – 1 </w:t>
      </w:r>
      <w:proofErr w:type="spellStart"/>
      <w:r>
        <w:rPr>
          <w:color w:val="000000"/>
          <w:u w:color="000000"/>
        </w:rPr>
        <w:t>mp</w:t>
      </w:r>
      <w:proofErr w:type="spellEnd"/>
      <w:r>
        <w:rPr>
          <w:color w:val="000000"/>
          <w:u w:color="000000"/>
        </w:rPr>
        <w:t xml:space="preserve"> dla każdego lokalu mieszkalnego,</w:t>
      </w:r>
    </w:p>
    <w:p w14:paraId="350A6E96" w14:textId="77777777" w:rsidR="00A77B3E" w:rsidRDefault="00D0248E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miejsce do parkowania na każde pełne 40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usługowej, lecz nie mniej niż 1 miejsce do parkowania oraz minimum 1 miejsce przeznaczone n</w:t>
      </w:r>
      <w:r>
        <w:rPr>
          <w:color w:val="000000"/>
          <w:u w:color="000000"/>
        </w:rPr>
        <w:t>a parkowanie pojazdów zaopatrzonych w kartę parkingową;</w:t>
      </w:r>
    </w:p>
    <w:p w14:paraId="6C414A8E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wysokość zabudowy:</w:t>
      </w:r>
    </w:p>
    <w:p w14:paraId="1FD6102A" w14:textId="77777777" w:rsidR="00A77B3E" w:rsidRDefault="00D0248E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do 10 m dla budynków mieszkalnych jednorodzinnych;</w:t>
      </w:r>
    </w:p>
    <w:p w14:paraId="7236E85B" w14:textId="77777777" w:rsidR="00A77B3E" w:rsidRDefault="00D0248E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do 4,5 m dla pozostałych budynków i budowli, w tym wiat;</w:t>
      </w:r>
    </w:p>
    <w:p w14:paraId="3F7CE7BD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rodzaj dachu:</w:t>
      </w:r>
    </w:p>
    <w:p w14:paraId="35D32117" w14:textId="77777777" w:rsidR="00A77B3E" w:rsidRDefault="00D0248E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 xml:space="preserve">dla budynków mieszkalnych </w:t>
      </w:r>
      <w:r>
        <w:rPr>
          <w:color w:val="000000"/>
          <w:u w:color="000000"/>
        </w:rPr>
        <w:t>jednorodzinnych:</w:t>
      </w:r>
    </w:p>
    <w:p w14:paraId="7FA94A9D" w14:textId="77777777" w:rsidR="00A77B3E" w:rsidRDefault="00D0248E">
      <w:pPr>
        <w:keepLines/>
        <w:spacing w:before="120" w:after="120"/>
        <w:ind w:left="567" w:hanging="113"/>
        <w:rPr>
          <w:color w:val="000000"/>
          <w:u w:color="000000"/>
        </w:rPr>
      </w:pPr>
      <w:r>
        <w:t>– </w:t>
      </w:r>
      <w:r>
        <w:rPr>
          <w:color w:val="000000"/>
          <w:u w:color="000000"/>
        </w:rPr>
        <w:t>dachy dwu – lub wielospadowe o kącie nachylenia połaci dachowych od 25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> do 40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>,</w:t>
      </w:r>
    </w:p>
    <w:p w14:paraId="1CA07262" w14:textId="77777777" w:rsidR="00A77B3E" w:rsidRDefault="00D0248E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dla budynków garażowych, gospodarczych i wiat:</w:t>
      </w:r>
    </w:p>
    <w:p w14:paraId="5250CB21" w14:textId="77777777" w:rsidR="00A77B3E" w:rsidRDefault="00D0248E">
      <w:pPr>
        <w:keepLines/>
        <w:spacing w:before="120" w:after="120"/>
        <w:ind w:left="567" w:hanging="113"/>
        <w:rPr>
          <w:color w:val="000000"/>
          <w:u w:color="000000"/>
        </w:rPr>
      </w:pPr>
      <w:r>
        <w:t>– </w:t>
      </w:r>
      <w:r>
        <w:rPr>
          <w:color w:val="000000"/>
          <w:u w:color="000000"/>
        </w:rPr>
        <w:t>dachy płaskie oraz jedno – lub wielospadowe o kącie nachylenia połaci dachowych do 20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>;</w:t>
      </w:r>
    </w:p>
    <w:p w14:paraId="008D8D4E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realizacja ele</w:t>
      </w:r>
      <w:r>
        <w:rPr>
          <w:color w:val="000000"/>
          <w:u w:color="000000"/>
        </w:rPr>
        <w:t>wacji z zastosowaniem nie więcej niż 3 rodzajów materiałów wykończeniowych (nie dotyczy obróbek blacharskich oraz stolarki);</w:t>
      </w:r>
    </w:p>
    <w:p w14:paraId="5172946B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zakaz stosowania jako okładzin elewacyjnych: blach trapezowych, falistych i blachodachówki oraz płytek ceramicznych.</w:t>
      </w:r>
    </w:p>
    <w:p w14:paraId="33B4B7B9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Szczegół</w:t>
      </w:r>
      <w:r>
        <w:rPr>
          <w:color w:val="000000"/>
          <w:u w:color="000000"/>
        </w:rPr>
        <w:t>owe zasady i warunki scalania i podziału nieruchomości:</w:t>
      </w:r>
    </w:p>
    <w:p w14:paraId="36F8F3E6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ustala się obowiązku scalania i ponownego podziału nieruchomości;</w:t>
      </w:r>
    </w:p>
    <w:p w14:paraId="07B1812B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parametry działek powstałych w wyniku scalania i podziału nieruchomości:</w:t>
      </w:r>
    </w:p>
    <w:p w14:paraId="3FB51474" w14:textId="77777777" w:rsidR="00A77B3E" w:rsidRDefault="00D0248E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minimalna powierzchnia działek – 600 </w:t>
      </w:r>
      <w:r>
        <w:rPr>
          <w:color w:val="000000"/>
          <w:u w:color="000000"/>
        </w:rPr>
        <w:t>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20DE8B12" w14:textId="77777777" w:rsidR="00A77B3E" w:rsidRDefault="00D0248E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minimalna szerokości frontu działek – 18 m,</w:t>
      </w:r>
    </w:p>
    <w:p w14:paraId="1489FEB8" w14:textId="77777777" w:rsidR="00A77B3E" w:rsidRDefault="00D0248E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dowolny kąt położenia granic działek w stosunku do pasa drogowego.</w:t>
      </w:r>
    </w:p>
    <w:p w14:paraId="0CFD8FC5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Zasady obsługi komunikacyjnej:</w:t>
      </w:r>
    </w:p>
    <w:p w14:paraId="76813182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1) </w:t>
      </w:r>
      <w:r>
        <w:rPr>
          <w:color w:val="000000"/>
          <w:u w:color="000000"/>
        </w:rPr>
        <w:t>z drogi publicznej – drogi dojazdowej, oznaczonej symbolem 1KDD.</w:t>
      </w:r>
    </w:p>
    <w:p w14:paraId="55554A3A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 xml:space="preserve">Warunki w zakresie </w:t>
      </w:r>
      <w:r>
        <w:rPr>
          <w:color w:val="000000"/>
          <w:u w:color="000000"/>
        </w:rPr>
        <w:t>infrastruktury technicznej ustalone w Dziale IV.</w:t>
      </w:r>
    </w:p>
    <w:p w14:paraId="440D729B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7.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>2MN</w:t>
      </w:r>
      <w:r>
        <w:rPr>
          <w:color w:val="000000"/>
          <w:u w:color="000000"/>
        </w:rPr>
        <w:t xml:space="preserve"> – zabudowa mieszkaniowa jednorodzinna wolnostojąca.</w:t>
      </w:r>
    </w:p>
    <w:p w14:paraId="52F26E7D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Zasady ochrony i kształtowania ładu przestrzennego:</w:t>
      </w:r>
    </w:p>
    <w:p w14:paraId="39858482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dopuszcza się lokalizację woln</w:t>
      </w:r>
      <w:r>
        <w:rPr>
          <w:color w:val="000000"/>
          <w:u w:color="000000"/>
        </w:rPr>
        <w:t>ostojących budynków gospodarczych i garażowych wyłącznie jako towarzyszących zabudowie mieszkaniowej;</w:t>
      </w:r>
    </w:p>
    <w:p w14:paraId="5239338F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zakaz lokalizacji budynków gospodarczych i garażowych o konstrukcji blaszanych;</w:t>
      </w:r>
    </w:p>
    <w:p w14:paraId="777BE7F6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nie dopuszcza się sytuowania budynków i wiat w odległości 1,5 m od g</w:t>
      </w:r>
      <w:r>
        <w:rPr>
          <w:color w:val="000000"/>
          <w:u w:color="000000"/>
        </w:rPr>
        <w:t>ranicy lub bezpośrednio przy granicy z sąsiednimi działkami budowlanymi;</w:t>
      </w:r>
    </w:p>
    <w:p w14:paraId="677EC199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ustala się minimalną powierzchnię nowo wydzielonych działek budowlanych: 900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14:paraId="04D606E4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kształtowania zabudowy oraz wskaźniki zagospodarowania terenu:</w:t>
      </w:r>
    </w:p>
    <w:p w14:paraId="21D3196B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obowiązuje </w:t>
      </w:r>
      <w:r>
        <w:rPr>
          <w:color w:val="000000"/>
          <w:u w:color="000000"/>
        </w:rPr>
        <w:t>lokalizacja zabudowy zgodnie z nieprzekraczalną linią zabudowy;</w:t>
      </w:r>
    </w:p>
    <w:p w14:paraId="3A82E760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wskaźnik intensywności zabudowy: od 0,1 do 0,5;</w:t>
      </w:r>
    </w:p>
    <w:p w14:paraId="4AF32EFB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maksymalną wielkość powierzchni zabudowy na działce w stosunku do powierzchni działki budowlanej – do 40%;</w:t>
      </w:r>
    </w:p>
    <w:p w14:paraId="6E5E3C9B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ustala</w:t>
      </w:r>
      <w:r>
        <w:rPr>
          <w:color w:val="000000"/>
          <w:u w:color="000000"/>
        </w:rPr>
        <w:t xml:space="preserve"> się minimalny udział powierzchni biologicznie czynnej w odniesieniu do powierzchni działki budowlanej – 40%;</w:t>
      </w:r>
    </w:p>
    <w:p w14:paraId="3047F5F4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obowiązuje zapewnienie odpowiedniej ilości miejsc do parkowania (</w:t>
      </w:r>
      <w:proofErr w:type="spellStart"/>
      <w:r>
        <w:rPr>
          <w:color w:val="000000"/>
          <w:u w:color="000000"/>
        </w:rPr>
        <w:t>mp</w:t>
      </w:r>
      <w:proofErr w:type="spellEnd"/>
      <w:r>
        <w:rPr>
          <w:color w:val="000000"/>
          <w:u w:color="000000"/>
        </w:rPr>
        <w:t>) w ramach działki budowlanej nie mniejszej niż:</w:t>
      </w:r>
    </w:p>
    <w:p w14:paraId="53B35DFE" w14:textId="77777777" w:rsidR="00A77B3E" w:rsidRDefault="00D0248E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terenów przeznaczony</w:t>
      </w:r>
      <w:r>
        <w:rPr>
          <w:color w:val="000000"/>
          <w:u w:color="000000"/>
        </w:rPr>
        <w:t>ch pod zabudowę mieszkaniową jednorodzinną – 1 </w:t>
      </w:r>
      <w:proofErr w:type="spellStart"/>
      <w:r>
        <w:rPr>
          <w:color w:val="000000"/>
          <w:u w:color="000000"/>
        </w:rPr>
        <w:t>mp</w:t>
      </w:r>
      <w:proofErr w:type="spellEnd"/>
      <w:r>
        <w:rPr>
          <w:color w:val="000000"/>
          <w:u w:color="000000"/>
        </w:rPr>
        <w:t xml:space="preserve"> dla każdego lokalu mieszkalnego,</w:t>
      </w:r>
    </w:p>
    <w:p w14:paraId="2329B6A3" w14:textId="77777777" w:rsidR="00A77B3E" w:rsidRDefault="00D0248E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miejsce do parkowania na każde pełne 40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usługowej, lecz nie mniej niż 1 miejsce do parkowania oraz minimum 1 miejsce przeznaczone na parkowanie pojazdów za</w:t>
      </w:r>
      <w:r>
        <w:rPr>
          <w:color w:val="000000"/>
          <w:u w:color="000000"/>
        </w:rPr>
        <w:t>opatrzonych w kartę parkingową;</w:t>
      </w:r>
    </w:p>
    <w:p w14:paraId="12504B22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wysokość zabudowy:</w:t>
      </w:r>
    </w:p>
    <w:p w14:paraId="2D5F0882" w14:textId="77777777" w:rsidR="00A77B3E" w:rsidRDefault="00D0248E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do 10 m dla budynków mieszkalnych jednorodzinnych,</w:t>
      </w:r>
    </w:p>
    <w:p w14:paraId="31D61CB3" w14:textId="77777777" w:rsidR="00A77B3E" w:rsidRDefault="00D0248E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do 4,5 m dla pozostałych budynków i budowli, w tym wiat;</w:t>
      </w:r>
    </w:p>
    <w:p w14:paraId="7E17BEB7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rodzaj dachu:</w:t>
      </w:r>
    </w:p>
    <w:p w14:paraId="6FFC5B74" w14:textId="77777777" w:rsidR="00A77B3E" w:rsidRDefault="00D0248E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budynków mieszkalnych jednorodzinnych:</w:t>
      </w:r>
    </w:p>
    <w:p w14:paraId="3F4D5D6A" w14:textId="77777777" w:rsidR="00A77B3E" w:rsidRDefault="00D0248E">
      <w:pPr>
        <w:keepLines/>
        <w:spacing w:before="120" w:after="120"/>
        <w:ind w:left="567" w:hanging="113"/>
        <w:rPr>
          <w:color w:val="000000"/>
          <w:u w:color="000000"/>
        </w:rPr>
      </w:pPr>
      <w:r>
        <w:t>– </w:t>
      </w:r>
      <w:r>
        <w:rPr>
          <w:color w:val="000000"/>
          <w:u w:color="000000"/>
        </w:rPr>
        <w:t>dachy płaskie,</w:t>
      </w:r>
    </w:p>
    <w:p w14:paraId="1605711E" w14:textId="77777777" w:rsidR="00A77B3E" w:rsidRDefault="00D0248E">
      <w:pPr>
        <w:keepLines/>
        <w:spacing w:before="120" w:after="120"/>
        <w:ind w:left="227" w:hanging="113"/>
        <w:rPr>
          <w:color w:val="000000"/>
          <w:u w:color="000000"/>
        </w:rPr>
      </w:pPr>
      <w:r>
        <w:t>– </w:t>
      </w:r>
      <w:r>
        <w:rPr>
          <w:color w:val="000000"/>
          <w:u w:color="000000"/>
        </w:rPr>
        <w:t>dachy dwu – lub wielospadowe o kącie nachylenia połaci dachowych od 25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> do 49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>,</w:t>
      </w:r>
    </w:p>
    <w:p w14:paraId="69D15BEB" w14:textId="77777777" w:rsidR="00A77B3E" w:rsidRDefault="00D0248E">
      <w:pPr>
        <w:keepLines/>
        <w:spacing w:before="120" w:after="120"/>
        <w:ind w:left="22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budynków garażowych, gospodarczych i wiat:</w:t>
      </w:r>
    </w:p>
    <w:p w14:paraId="1FC04647" w14:textId="77777777" w:rsidR="00A77B3E" w:rsidRDefault="00D0248E">
      <w:pPr>
        <w:keepLines/>
        <w:spacing w:before="120" w:after="120"/>
        <w:ind w:left="227" w:hanging="113"/>
        <w:rPr>
          <w:color w:val="000000"/>
          <w:u w:color="000000"/>
        </w:rPr>
      </w:pPr>
      <w:r>
        <w:t>– </w:t>
      </w:r>
      <w:r>
        <w:rPr>
          <w:color w:val="000000"/>
          <w:u w:color="000000"/>
        </w:rPr>
        <w:t>dachy płaskie oraz jedno – lub wielospadowe o kącie nachylenia połaci dachowych do 20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>;</w:t>
      </w:r>
    </w:p>
    <w:p w14:paraId="2E54C798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realizacja elewacji z zastosowani</w:t>
      </w:r>
      <w:r>
        <w:rPr>
          <w:color w:val="000000"/>
          <w:u w:color="000000"/>
        </w:rPr>
        <w:t>em nie więcej niż 3 rodzajów materiałów wykończeniowych (nie dotyczy obróbek blacharskich oraz stolarki);</w:t>
      </w:r>
    </w:p>
    <w:p w14:paraId="0579D5BC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zakaz stosowania jako okładzin elewacyjnych blach trapezowych: falistych i blachodachówki oraz płytek ceramicznych.</w:t>
      </w:r>
    </w:p>
    <w:p w14:paraId="2E0933A9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Szczegółowe zasady i warunki</w:t>
      </w:r>
      <w:r>
        <w:rPr>
          <w:color w:val="000000"/>
          <w:u w:color="000000"/>
        </w:rPr>
        <w:t xml:space="preserve"> scalania i podziału nieruchomości:</w:t>
      </w:r>
    </w:p>
    <w:p w14:paraId="320FB43C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ustala się obowiązku scalania i ponownego podziału nieruchomości;</w:t>
      </w:r>
    </w:p>
    <w:p w14:paraId="1F823379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parametry działek powstałych w wyniku scalania i podziału nieruchomości:</w:t>
      </w:r>
    </w:p>
    <w:p w14:paraId="60FD5BFB" w14:textId="77777777" w:rsidR="00A77B3E" w:rsidRDefault="00D0248E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minimalna powierzchnia działek – 900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72BEA0C5" w14:textId="77777777" w:rsidR="00A77B3E" w:rsidRDefault="00D0248E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minimalna szerokości frontu działek – 18 m,</w:t>
      </w:r>
    </w:p>
    <w:p w14:paraId="162A97AF" w14:textId="77777777" w:rsidR="00A77B3E" w:rsidRDefault="00D0248E">
      <w:pPr>
        <w:keepLines/>
        <w:spacing w:before="120" w:after="120"/>
        <w:ind w:left="567" w:hanging="227"/>
        <w:rPr>
          <w:color w:val="000000"/>
          <w:u w:color="000000"/>
        </w:rPr>
      </w:pPr>
      <w:r>
        <w:lastRenderedPageBreak/>
        <w:t>c) </w:t>
      </w:r>
      <w:r>
        <w:rPr>
          <w:color w:val="000000"/>
          <w:u w:color="000000"/>
        </w:rPr>
        <w:t>dowolny kąt położenia granic działek w stosunku do pasa drogowego.</w:t>
      </w:r>
    </w:p>
    <w:p w14:paraId="7B09E0A0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Zasady obsługi komunikacyjnej:</w:t>
      </w:r>
    </w:p>
    <w:p w14:paraId="44FB41FA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 drogi publicznej – drogi dojazdowej, oznaczonej symbolem 2KDD.</w:t>
      </w:r>
    </w:p>
    <w:p w14:paraId="761EE45E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Warunki w zakresie infrastruktury tec</w:t>
      </w:r>
      <w:r>
        <w:rPr>
          <w:color w:val="000000"/>
          <w:u w:color="000000"/>
        </w:rPr>
        <w:t>hnicznej ustalone w Dziale IV.</w:t>
      </w:r>
    </w:p>
    <w:p w14:paraId="1A2BCE1B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8.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 xml:space="preserve">1ZU </w:t>
      </w:r>
      <w:r>
        <w:rPr>
          <w:color w:val="000000"/>
          <w:u w:color="000000"/>
        </w:rPr>
        <w:t xml:space="preserve">z przeznaczeniem podstawowym – zieleń urządzona. </w:t>
      </w:r>
    </w:p>
    <w:p w14:paraId="1D8EA146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Jako przeznaczenie dopuszczalne ustala się możliwość lokalizacji:</w:t>
      </w:r>
    </w:p>
    <w:p w14:paraId="03CDCE81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sieci i urządzeń </w:t>
      </w:r>
      <w:r>
        <w:rPr>
          <w:color w:val="000000"/>
          <w:u w:color="000000"/>
        </w:rPr>
        <w:t>infrastruktury technicznej związane z zagospodarowaniem terenu;</w:t>
      </w:r>
    </w:p>
    <w:p w14:paraId="0977D6B3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ciągów pieszych i rowerowych.</w:t>
      </w:r>
    </w:p>
    <w:p w14:paraId="55744E78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ochrony i kształtowania ładu przestrzennego:</w:t>
      </w:r>
    </w:p>
    <w:p w14:paraId="69F32955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zakazuje się lokalizacji budynków;</w:t>
      </w:r>
    </w:p>
    <w:p w14:paraId="3085969E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minimalny udział powierzchni biologicznie czynnej w odniesieniu</w:t>
      </w:r>
      <w:r>
        <w:rPr>
          <w:color w:val="000000"/>
          <w:u w:color="000000"/>
        </w:rPr>
        <w:t xml:space="preserve"> do powierzchni działki budowlanej – 70%.</w:t>
      </w:r>
    </w:p>
    <w:p w14:paraId="0FF00517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Warunki w zakresie infrastruktury technicznej ustalone w Dziale IV.</w:t>
      </w:r>
    </w:p>
    <w:p w14:paraId="06000718" w14:textId="77777777" w:rsidR="00A77B3E" w:rsidRDefault="00D0248E">
      <w:pPr>
        <w:keepNext/>
        <w:keepLines/>
        <w:jc w:val="center"/>
        <w:rPr>
          <w:color w:val="000000"/>
          <w:u w:color="000000"/>
        </w:rPr>
      </w:pPr>
      <w:r>
        <w:rPr>
          <w:b/>
        </w:rPr>
        <w:t>Rozdział 2.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dotyczące terenów dróg</w:t>
      </w:r>
    </w:p>
    <w:p w14:paraId="4A1CDEFD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9.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>1KDZ</w:t>
      </w:r>
      <w:r>
        <w:rPr>
          <w:color w:val="000000"/>
          <w:u w:color="000000"/>
        </w:rPr>
        <w:t xml:space="preserve"> – teren dróg publicznych – dro</w:t>
      </w:r>
      <w:r>
        <w:rPr>
          <w:color w:val="000000"/>
          <w:u w:color="000000"/>
        </w:rPr>
        <w:t>ga zbiorcza.</w:t>
      </w:r>
    </w:p>
    <w:p w14:paraId="50A35D63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Ustala się następujące warunki zagospodarowania terenu:</w:t>
      </w:r>
    </w:p>
    <w:p w14:paraId="264271C3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podstawowe: drogi publiczne wraz z obiektami i urządzeniami związanymi z obsługą ruchu drogowego;</w:t>
      </w:r>
    </w:p>
    <w:p w14:paraId="5E1314AA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przeznaczenie uzupełniające: zieleń urządzona, ciągi piesze, sieć </w:t>
      </w:r>
      <w:r>
        <w:rPr>
          <w:color w:val="000000"/>
          <w:u w:color="000000"/>
        </w:rPr>
        <w:t>i urządzenia infrastruktury technicznej, przystanki oraz wiaty przystankowe;</w:t>
      </w:r>
    </w:p>
    <w:p w14:paraId="1D0C9AE5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obowiązek realizacji pasa zieleni izolacyjnej o szerokości min. 2,0 m, zgodnie z rysunkiem planu, dopuszcza się możliwość zmniejszenia jego szerokości lub likwidacji w przypadk</w:t>
      </w:r>
      <w:r>
        <w:rPr>
          <w:color w:val="000000"/>
          <w:u w:color="000000"/>
        </w:rPr>
        <w:t>u lokalizacji miejsc służących obsłudze komunikacji publicznej;</w:t>
      </w:r>
    </w:p>
    <w:p w14:paraId="079F1491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obowiązek realizacji ścieżki rowerowej;</w:t>
      </w:r>
    </w:p>
    <w:p w14:paraId="7CE4BC30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szerokość pasa drogowego w liniach rozgraniczających od 32,0 do 67,0 m, zgodnie z rysunkiem planu.</w:t>
      </w:r>
    </w:p>
    <w:p w14:paraId="6E148282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10.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 xml:space="preserve">2KDZ </w:t>
      </w:r>
      <w:r>
        <w:rPr>
          <w:color w:val="000000"/>
          <w:u w:color="000000"/>
        </w:rPr>
        <w:t>– teren dróg publicznych – droga zbiorcza.</w:t>
      </w:r>
    </w:p>
    <w:p w14:paraId="23DFA5D9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Ustala się następujące warunki zagospodarowania terenu:</w:t>
      </w:r>
    </w:p>
    <w:p w14:paraId="55EA299B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przeznaczenie podstawowe: drogi publiczne wraz z obiektami i urządzeniami </w:t>
      </w:r>
      <w:r>
        <w:rPr>
          <w:color w:val="000000"/>
          <w:u w:color="000000"/>
        </w:rPr>
        <w:t>związanymi z obsługą ruchu drogowego;</w:t>
      </w:r>
    </w:p>
    <w:p w14:paraId="134B0CDB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 zieleń urządzona, ciągi piesze i rowerowe, sieć i urządzenia infrastruktury technicznej, przystanki oraz wiaty przystankowe;</w:t>
      </w:r>
    </w:p>
    <w:p w14:paraId="4138F677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szerokość pasa drogowego w liniach rozgraniczających od 15</w:t>
      </w:r>
      <w:r>
        <w:rPr>
          <w:color w:val="000000"/>
          <w:u w:color="000000"/>
        </w:rPr>
        <w:t>,0 do 22,0 m, zgodnie z rysunkiem planu.</w:t>
      </w:r>
    </w:p>
    <w:p w14:paraId="415402F4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11.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>3KDZ</w:t>
      </w:r>
      <w:r>
        <w:rPr>
          <w:color w:val="000000"/>
          <w:u w:color="000000"/>
        </w:rPr>
        <w:t xml:space="preserve"> – teren dróg publicznych – droga zbiorcza.</w:t>
      </w:r>
    </w:p>
    <w:p w14:paraId="4F022EAB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Ustala się następujące warunki zagospodarowania terenu:</w:t>
      </w:r>
    </w:p>
    <w:p w14:paraId="21C542C5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podstawowe: drogi publiczne</w:t>
      </w:r>
      <w:r>
        <w:rPr>
          <w:color w:val="000000"/>
          <w:u w:color="000000"/>
        </w:rPr>
        <w:t xml:space="preserve"> wraz z obiektami i urządzeniami związanymi z obsługą ruchu drogowego;</w:t>
      </w:r>
    </w:p>
    <w:p w14:paraId="279F4194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 zieleń urządzona, ciągi piesze i rowerowe, sieć i urządzenia infrastruktury technicznej, przystanki oraz wiaty przystankowe;</w:t>
      </w:r>
    </w:p>
    <w:p w14:paraId="23A3A595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3) </w:t>
      </w:r>
      <w:r>
        <w:rPr>
          <w:color w:val="000000"/>
          <w:u w:color="000000"/>
        </w:rPr>
        <w:t xml:space="preserve">szerokość pasa drogowego </w:t>
      </w:r>
      <w:r>
        <w:rPr>
          <w:color w:val="000000"/>
          <w:u w:color="000000"/>
        </w:rPr>
        <w:t>w liniach rozgraniczających od 25,0 do 28,0 m, zgodnie z rysunkiem planu.</w:t>
      </w:r>
    </w:p>
    <w:p w14:paraId="5813FE4C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12.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>1KDD</w:t>
      </w:r>
      <w:r>
        <w:rPr>
          <w:color w:val="000000"/>
          <w:u w:color="000000"/>
        </w:rPr>
        <w:t xml:space="preserve"> – teren dróg publicznych – droga dojazdowa.</w:t>
      </w:r>
    </w:p>
    <w:p w14:paraId="120F9A28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Ustala się następujące warunki zagospodarowania terenu:</w:t>
      </w:r>
    </w:p>
    <w:p w14:paraId="7B999D43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</w:t>
      </w:r>
      <w:r>
        <w:rPr>
          <w:color w:val="000000"/>
          <w:u w:color="000000"/>
        </w:rPr>
        <w:t>czenie podstawowe: drogi publiczne wraz z obiektami i urządzeniami związanymi z obsługą ruchu drogowego;</w:t>
      </w:r>
    </w:p>
    <w:p w14:paraId="4F32FE0A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 zieleń urządzona, ciągi piesze i rowerowe, sieć i urządzenia infrastruktury technicznej, przystanki oraz wiaty przystan</w:t>
      </w:r>
      <w:r>
        <w:rPr>
          <w:color w:val="000000"/>
          <w:u w:color="000000"/>
        </w:rPr>
        <w:t>kowe;</w:t>
      </w:r>
    </w:p>
    <w:p w14:paraId="72489248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szerokość pasa drogowego w liniach rozgraniczających od 13,0 do 27,0 m, zgodnie z rysunkiem planu.</w:t>
      </w:r>
    </w:p>
    <w:p w14:paraId="6520CD63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13.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>2KDD</w:t>
      </w:r>
      <w:r>
        <w:rPr>
          <w:color w:val="000000"/>
          <w:u w:color="000000"/>
        </w:rPr>
        <w:t xml:space="preserve"> – teren dróg publicznych – droga dojazdowa.</w:t>
      </w:r>
    </w:p>
    <w:p w14:paraId="36744B46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Ustala się następujące warunki z</w:t>
      </w:r>
      <w:r>
        <w:rPr>
          <w:color w:val="000000"/>
          <w:u w:color="000000"/>
        </w:rPr>
        <w:t>agospodarowania terenu:</w:t>
      </w:r>
    </w:p>
    <w:p w14:paraId="26787D05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podstawowe: drogi publiczne wraz z obiektami i urządzeniami związanymi z obsługą ruchu drogowego;</w:t>
      </w:r>
    </w:p>
    <w:p w14:paraId="7760F251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 zieleń urządzona, ciągi piesze i rowerowe, sieć i urządzenia infrastruktury techniczn</w:t>
      </w:r>
      <w:r>
        <w:rPr>
          <w:color w:val="000000"/>
          <w:u w:color="000000"/>
        </w:rPr>
        <w:t>ej;</w:t>
      </w:r>
    </w:p>
    <w:p w14:paraId="5D3D14E5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szerokość pasa drogowego w liniach rozgraniczających od 12,0 do 16,0 m.</w:t>
      </w:r>
    </w:p>
    <w:p w14:paraId="0B577E9E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14.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 xml:space="preserve">1KP </w:t>
      </w:r>
      <w:r>
        <w:rPr>
          <w:color w:val="000000"/>
          <w:u w:color="000000"/>
        </w:rPr>
        <w:t xml:space="preserve">– teren komunikacji samochodowej – parkingi.  </w:t>
      </w:r>
    </w:p>
    <w:p w14:paraId="36A13CAE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 xml:space="preserve">Ustala się następujące warunki </w:t>
      </w:r>
      <w:r>
        <w:rPr>
          <w:color w:val="000000"/>
          <w:u w:color="000000"/>
        </w:rPr>
        <w:t>zagospodarowania terenu:</w:t>
      </w:r>
    </w:p>
    <w:p w14:paraId="62A1AB69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podstawowe: parkingi;</w:t>
      </w:r>
    </w:p>
    <w:p w14:paraId="6F39D0EE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 zieleń urządzona, ciągi piesze i rowerowe, sieć i urządzenia infrastruktury technicznej.</w:t>
      </w:r>
    </w:p>
    <w:p w14:paraId="181128FC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ochrony i kształtowania ładu przestrzennego:</w:t>
      </w:r>
    </w:p>
    <w:p w14:paraId="655DFC06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zakazuje się </w:t>
      </w:r>
      <w:r>
        <w:rPr>
          <w:color w:val="000000"/>
          <w:u w:color="000000"/>
        </w:rPr>
        <w:t>lokalizacji budynków;</w:t>
      </w:r>
    </w:p>
    <w:p w14:paraId="619A6006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minimalny udział powierzchni biologicznie czynnej w odniesieniu do powierzchni działki budowlanej – 10%.</w:t>
      </w:r>
    </w:p>
    <w:p w14:paraId="7A62AAF4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Zasady obsługi komunikacyjnej:</w:t>
      </w:r>
    </w:p>
    <w:p w14:paraId="36455E9C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 drogi publicznej – ulicy dojazdowej oznaczonej symbolem 1KDD.</w:t>
      </w:r>
    </w:p>
    <w:p w14:paraId="1E4B45D7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Warunki w </w:t>
      </w:r>
      <w:r>
        <w:rPr>
          <w:color w:val="000000"/>
          <w:u w:color="000000"/>
        </w:rPr>
        <w:t>zakresie infrastruktury technicznej ustalone w Dziale IV.</w:t>
      </w:r>
    </w:p>
    <w:p w14:paraId="48C3014D" w14:textId="77777777" w:rsidR="00A77B3E" w:rsidRDefault="00D0248E">
      <w:pPr>
        <w:keepNext/>
        <w:keepLines/>
        <w:jc w:val="center"/>
        <w:rPr>
          <w:color w:val="000000"/>
          <w:u w:color="000000"/>
        </w:rPr>
      </w:pPr>
      <w:r>
        <w:rPr>
          <w:b/>
          <w:caps/>
        </w:rPr>
        <w:t>Dział IV.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SZCZEGÓŁOWE DOTYCZCE INFRASTRUKTURY TECHNICZNEJ</w:t>
      </w:r>
    </w:p>
    <w:p w14:paraId="7C15C9A6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15. </w:t>
      </w:r>
      <w:r>
        <w:t>1. </w:t>
      </w:r>
      <w:r>
        <w:rPr>
          <w:color w:val="000000"/>
          <w:u w:color="000000"/>
        </w:rPr>
        <w:t>Ustala się następujące zasady w zakresie zaopatrzenia w wodę:</w:t>
      </w:r>
    </w:p>
    <w:p w14:paraId="6AE5EDF9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zaopatrzenie w wodę do celów </w:t>
      </w:r>
      <w:proofErr w:type="spellStart"/>
      <w:r>
        <w:rPr>
          <w:color w:val="000000"/>
          <w:u w:color="000000"/>
        </w:rPr>
        <w:t>socjalno</w:t>
      </w:r>
      <w:proofErr w:type="spellEnd"/>
      <w:r>
        <w:rPr>
          <w:color w:val="000000"/>
          <w:u w:color="000000"/>
        </w:rPr>
        <w:t xml:space="preserve"> – bytowych, gospod</w:t>
      </w:r>
      <w:r>
        <w:rPr>
          <w:color w:val="000000"/>
          <w:u w:color="000000"/>
        </w:rPr>
        <w:t>arczych i przeciwpożarowych z istniejącej i projektowanej miejskiej sieci wodociągowej.</w:t>
      </w:r>
    </w:p>
    <w:p w14:paraId="11E74F4A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Ustala się następujące zasady w zakresie odprowadzania ścieków:</w:t>
      </w:r>
    </w:p>
    <w:p w14:paraId="71D977A9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odprowadzenie ścieków poprzez istniejące i projektowane sieci do zbiorowego systemu odprowadzania </w:t>
      </w:r>
      <w:r>
        <w:rPr>
          <w:color w:val="000000"/>
          <w:u w:color="000000"/>
        </w:rPr>
        <w:t>ścieków.</w:t>
      </w:r>
    </w:p>
    <w:p w14:paraId="3ED08DEC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Ustala się następujące zasady w zakresie odprowadzania wód opadowych i roztopowych:</w:t>
      </w:r>
    </w:p>
    <w:p w14:paraId="61E17691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obowiązuje zagospodarowanie wód opadowych w granicach nieruchomości przez naturalną i wymuszoną retencję gruntu;</w:t>
      </w:r>
    </w:p>
    <w:p w14:paraId="218E7EBB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odprowadzanie ścieków opado</w:t>
      </w:r>
      <w:r>
        <w:rPr>
          <w:color w:val="000000"/>
          <w:u w:color="000000"/>
        </w:rPr>
        <w:t>wych i roztopowych poprzez istniejący i projektowany system sieci kanalizacji deszczowej z terenów dróg publicznych i terenów komunikacji samochodowej – parkingi;</w:t>
      </w:r>
    </w:p>
    <w:p w14:paraId="72A08E8B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3) </w:t>
      </w:r>
      <w:r>
        <w:rPr>
          <w:color w:val="000000"/>
          <w:u w:color="000000"/>
        </w:rPr>
        <w:t>zakaz odprowadzania ścieków opadowych i roztopowych poprzez istniejący i </w:t>
      </w:r>
      <w:r>
        <w:rPr>
          <w:color w:val="000000"/>
          <w:u w:color="000000"/>
        </w:rPr>
        <w:t>projektowany system sieci kanalizacji deszczowej z terenów zabudowy mieszkaniowej jednorodzinnej i terenów zieleni urządzonej.</w:t>
      </w:r>
    </w:p>
    <w:p w14:paraId="148956B2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Ustala się następujące zasady w zakresie zaopatrzenia w energię elektryczną:</w:t>
      </w:r>
    </w:p>
    <w:p w14:paraId="73CFA93A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zasilanie w energię elektryczną z istniejących</w:t>
      </w:r>
      <w:r>
        <w:rPr>
          <w:color w:val="000000"/>
          <w:u w:color="000000"/>
        </w:rPr>
        <w:t xml:space="preserve"> stacji transformatorowych;</w:t>
      </w:r>
    </w:p>
    <w:p w14:paraId="009C099D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przebudowę oraz likwidację istniejących linii energetycznych,</w:t>
      </w:r>
    </w:p>
    <w:p w14:paraId="7D29831B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dla nowo realizowanych odcinków sieci elektroenergetycznych obowiązuje zastosowanie wyłącznie linii kablowych układanych w gruncie;</w:t>
      </w:r>
    </w:p>
    <w:p w14:paraId="3C97900E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dla istniej</w:t>
      </w:r>
      <w:r>
        <w:rPr>
          <w:color w:val="000000"/>
          <w:u w:color="000000"/>
        </w:rPr>
        <w:t>ącej napowietrznej linii średniego napięcia 15 </w:t>
      </w:r>
      <w:proofErr w:type="spellStart"/>
      <w:r>
        <w:rPr>
          <w:color w:val="000000"/>
          <w:u w:color="000000"/>
        </w:rPr>
        <w:t>kV</w:t>
      </w:r>
      <w:proofErr w:type="spellEnd"/>
      <w:r>
        <w:rPr>
          <w:color w:val="000000"/>
          <w:u w:color="000000"/>
        </w:rPr>
        <w:t xml:space="preserve"> ustala się strefę ograniczonego użytkowania o szerokości od 0 do 15,0 m w granicach opracowania (tj. do 7,5 m na każdą stronę od osi linii), zgodnie z rysunkiem planu, w której obowiązuje:</w:t>
      </w:r>
    </w:p>
    <w:p w14:paraId="1D7E4806" w14:textId="77777777" w:rsidR="00A77B3E" w:rsidRDefault="00D0248E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zakaz lokalizac</w:t>
      </w:r>
      <w:r>
        <w:rPr>
          <w:color w:val="000000"/>
          <w:u w:color="000000"/>
        </w:rPr>
        <w:t>ji budynków na pobyt ludzi,</w:t>
      </w:r>
    </w:p>
    <w:p w14:paraId="109DC6FB" w14:textId="77777777" w:rsidR="00A77B3E" w:rsidRDefault="00D0248E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dopuszcza się nasadzenia drzew i krzewów o wysokości do 4,5 m;</w:t>
      </w:r>
    </w:p>
    <w:p w14:paraId="0FE73286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dla istniejącej napowietrznej linii wysokiego napięcia 110 </w:t>
      </w:r>
      <w:proofErr w:type="spellStart"/>
      <w:r>
        <w:rPr>
          <w:color w:val="000000"/>
          <w:u w:color="000000"/>
        </w:rPr>
        <w:t>kV</w:t>
      </w:r>
      <w:proofErr w:type="spellEnd"/>
      <w:r>
        <w:rPr>
          <w:color w:val="000000"/>
          <w:u w:color="000000"/>
        </w:rPr>
        <w:t xml:space="preserve"> ustala się strefę ograniczonego użytkowania o szerokości od 0 do 28,0 m w granicach opracowania (t</w:t>
      </w:r>
      <w:r>
        <w:rPr>
          <w:color w:val="000000"/>
          <w:u w:color="000000"/>
        </w:rPr>
        <w:t>j. do 18,0 m na każdą stronę od osi linii), zgodnie z rysunkiem planu, w której obowiązuje:</w:t>
      </w:r>
    </w:p>
    <w:p w14:paraId="338A0005" w14:textId="77777777" w:rsidR="00A77B3E" w:rsidRDefault="00D0248E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zakaz lokalizacji budynków na pobyt ludzi,</w:t>
      </w:r>
    </w:p>
    <w:p w14:paraId="502F8247" w14:textId="77777777" w:rsidR="00A77B3E" w:rsidRDefault="00D0248E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dopuszcza się nasadzenia drzew i krzewów o wysokości do 4,5 m;</w:t>
      </w:r>
    </w:p>
    <w:p w14:paraId="49A5BC0D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strefa ograniczonego użytkowania, o której mowa pow</w:t>
      </w:r>
      <w:r>
        <w:rPr>
          <w:color w:val="000000"/>
          <w:u w:color="000000"/>
        </w:rPr>
        <w:t>yżej w pkt. 4) i 5), przestaje obowiązywać w przypadku likwidacji lub skablowania napowietrznej linii elektroenergetycznej.</w:t>
      </w:r>
    </w:p>
    <w:p w14:paraId="762C2BE4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Ustala się następujące zasady w zakresie zaopatrzenia w gaz:</w:t>
      </w:r>
    </w:p>
    <w:p w14:paraId="179CBC9F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poprzez przyłączenie do istniejącej i projektowanej sieci </w:t>
      </w:r>
      <w:r>
        <w:rPr>
          <w:color w:val="000000"/>
          <w:u w:color="000000"/>
        </w:rPr>
        <w:t>gazowej.</w:t>
      </w:r>
    </w:p>
    <w:p w14:paraId="72FCDDBA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Ustala się następujące zasady w zakresie zaopatrzenia w ciepło:</w:t>
      </w:r>
    </w:p>
    <w:p w14:paraId="69D30AB9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wykorzystywania do celów grzewczych źródeł ciepła zasilanych paliwami stałymi;</w:t>
      </w:r>
    </w:p>
    <w:p w14:paraId="604F599C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obowiązek stosowania bezpiecznych ekologicznie nośników energii cieplnej, w tym źródeł en</w:t>
      </w:r>
      <w:r>
        <w:rPr>
          <w:color w:val="000000"/>
          <w:u w:color="000000"/>
        </w:rPr>
        <w:t>ergii odnawialnej.</w:t>
      </w:r>
    </w:p>
    <w:p w14:paraId="5F2D9FEB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t>7. </w:t>
      </w:r>
      <w:r>
        <w:rPr>
          <w:color w:val="000000"/>
          <w:u w:color="000000"/>
        </w:rPr>
        <w:t>Ustala się następujące zasady wyposażenia w łącza telefoniczne i teleinformatyczne:</w:t>
      </w:r>
    </w:p>
    <w:p w14:paraId="745CE9F0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zaopatrzenie w stacjonarne łącza telefoniczne z istniejącej i projektowanej sieci telekomunikacyjnej;</w:t>
      </w:r>
    </w:p>
    <w:p w14:paraId="2B8787C9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dopuszcza się lokalizację inwestycji celu </w:t>
      </w:r>
      <w:r>
        <w:rPr>
          <w:color w:val="000000"/>
          <w:u w:color="000000"/>
        </w:rPr>
        <w:t>publicznego z zakresu telekomunikacji na warunkach określonych w przepisach odrębnych i szczególnych;</w:t>
      </w:r>
    </w:p>
    <w:p w14:paraId="0970FD91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obowiązuje realizacja podziemnej sieci teletechnicznej.</w:t>
      </w:r>
    </w:p>
    <w:p w14:paraId="4EBC6B75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t>8. </w:t>
      </w:r>
      <w:r>
        <w:rPr>
          <w:color w:val="000000"/>
          <w:u w:color="000000"/>
        </w:rPr>
        <w:t>Ustala się następujące zasady obsługi w zakresie gospodarki odpadami stałymi:</w:t>
      </w:r>
    </w:p>
    <w:p w14:paraId="2D7341CB" w14:textId="77777777" w:rsidR="00A77B3E" w:rsidRDefault="00D0248E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usuwanie od</w:t>
      </w:r>
      <w:r>
        <w:rPr>
          <w:color w:val="000000"/>
          <w:u w:color="000000"/>
        </w:rPr>
        <w:t>padów w oparciu o miejski system oczyszczania.</w:t>
      </w:r>
    </w:p>
    <w:p w14:paraId="39AFDDDE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t>9. </w:t>
      </w:r>
      <w:r>
        <w:rPr>
          <w:color w:val="000000"/>
          <w:u w:color="000000"/>
        </w:rPr>
        <w:t>Dopuszcza się wydzielenie działek dla lokalizacji obiektów, sieci i urządzeń infrastruktury technicznej, przy czym nowo wydzielone działki muszą posiadać dostęp do drogi publicznej.</w:t>
      </w:r>
    </w:p>
    <w:p w14:paraId="2ADF4E50" w14:textId="77777777" w:rsidR="00A77B3E" w:rsidRDefault="00D0248E">
      <w:pPr>
        <w:keepNext/>
        <w:keepLines/>
        <w:jc w:val="center"/>
        <w:rPr>
          <w:color w:val="000000"/>
          <w:u w:color="000000"/>
        </w:rPr>
      </w:pPr>
      <w:r>
        <w:rPr>
          <w:b/>
          <w:caps/>
        </w:rPr>
        <w:t>Dział V.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KOŃCO</w:t>
      </w:r>
      <w:r>
        <w:rPr>
          <w:b/>
          <w:color w:val="000000"/>
          <w:u w:color="000000"/>
        </w:rPr>
        <w:t>WE</w:t>
      </w:r>
    </w:p>
    <w:p w14:paraId="53CC2389" w14:textId="77777777" w:rsidR="00A77B3E" w:rsidRDefault="00D0248E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16. </w:t>
      </w:r>
      <w:r>
        <w:rPr>
          <w:color w:val="000000"/>
          <w:u w:color="000000"/>
        </w:rPr>
        <w:t>Uchwała podlega ogłoszeniu w Dzienniku Urzędowym Województwa Łódzkiego i na stronie internetowej Miasta Piotrkowa Trybunalskiego.</w:t>
      </w:r>
    </w:p>
    <w:p w14:paraId="597C1BC1" w14:textId="77777777" w:rsidR="00A77B3E" w:rsidRDefault="00D0248E">
      <w:pPr>
        <w:keepNext/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lastRenderedPageBreak/>
        <w:t>§ 17. </w:t>
      </w:r>
      <w:r>
        <w:rPr>
          <w:color w:val="000000"/>
          <w:u w:color="000000"/>
        </w:rPr>
        <w:t xml:space="preserve">Uchwała wchodzi w życie po upływie 14 dni od dnia ogłoszenia jej w Dzienniku Urzędowym Województwa </w:t>
      </w:r>
      <w:r>
        <w:rPr>
          <w:color w:val="000000"/>
          <w:u w:color="000000"/>
        </w:rPr>
        <w:t>Łódzkiego.</w:t>
      </w:r>
    </w:p>
    <w:p w14:paraId="0941A4EA" w14:textId="77777777" w:rsidR="00A77B3E" w:rsidRDefault="00A77B3E">
      <w:pPr>
        <w:keepNext/>
        <w:keepLines/>
        <w:spacing w:before="120" w:after="120"/>
        <w:ind w:firstLine="340"/>
        <w:rPr>
          <w:color w:val="000000"/>
          <w:u w:color="000000"/>
        </w:rPr>
      </w:pPr>
    </w:p>
    <w:p w14:paraId="36606AC4" w14:textId="77777777" w:rsidR="00A77B3E" w:rsidRDefault="00D0248E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F9044B" w14:paraId="0E204780" w14:textId="77777777"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2BECBF2A" w14:textId="77777777" w:rsidR="00F9044B" w:rsidRDefault="00F9044B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346E7F8E" w14:textId="77777777" w:rsidR="00F9044B" w:rsidRDefault="00D0248E">
            <w:pPr>
              <w:keepNext/>
              <w:keepLines/>
              <w:spacing w:before="560" w:after="560"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Przewodniczący Rady Miasta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Marian Błaszczyński</w:t>
            </w:r>
          </w:p>
        </w:tc>
      </w:tr>
    </w:tbl>
    <w:p w14:paraId="0763B5F9" w14:textId="77777777" w:rsidR="00A77B3E" w:rsidRDefault="00A77B3E">
      <w:pPr>
        <w:keepNext/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1748B4FA" w14:textId="77777777" w:rsidR="00A77B3E" w:rsidRDefault="00D0248E">
      <w:pPr>
        <w:spacing w:before="120" w:after="120" w:line="360" w:lineRule="auto"/>
        <w:ind w:left="5021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1 do uchwały Nr XXXV/477/21</w:t>
      </w:r>
      <w:r>
        <w:rPr>
          <w:color w:val="000000"/>
          <w:u w:color="000000"/>
        </w:rPr>
        <w:br/>
        <w:t xml:space="preserve">Rady Miasta Piotrkowa </w:t>
      </w:r>
      <w:r>
        <w:rPr>
          <w:color w:val="000000"/>
          <w:u w:color="000000"/>
        </w:rPr>
        <w:t>Trybunalskiego</w:t>
      </w:r>
      <w:r>
        <w:rPr>
          <w:color w:val="000000"/>
          <w:u w:color="000000"/>
        </w:rPr>
        <w:br/>
        <w:t>z dnia 28 kwietnia 2021 r.</w:t>
      </w:r>
    </w:p>
    <w:p w14:paraId="5B53920B" w14:textId="77777777" w:rsidR="00A77B3E" w:rsidRDefault="00D0248E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6BFAA288" wp14:editId="2AD04896">
            <wp:extent cx="6264910" cy="8857017"/>
            <wp:effectExtent l="0" t="0" r="0" b="0"/>
            <wp:docPr id="100001" name="Obraz 100001" descr="fragment mapy - załączn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Obraz 100001" descr="fragment mapy - załącznika 1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684D1" w14:textId="77777777" w:rsidR="00A77B3E" w:rsidRDefault="00D0248E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1983A7A1" wp14:editId="75D9A46F">
            <wp:extent cx="6264910" cy="8857017"/>
            <wp:effectExtent l="0" t="0" r="0" b="0"/>
            <wp:docPr id="100003" name="Obraz 100003" descr="fragment mapy - arkus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Obraz 100003" descr="fragment mapy - arkusz 2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21114" w14:textId="77777777" w:rsidR="00A77B3E" w:rsidRDefault="00D0248E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446DA5CE" wp14:editId="7C899AEF">
            <wp:extent cx="6264910" cy="8857017"/>
            <wp:effectExtent l="0" t="0" r="0" b="0"/>
            <wp:docPr id="100005" name="Obraz 100005" descr="fragment may - arkus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Obraz 100005" descr="fragment may - arkusz 3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60D39" w14:textId="77777777" w:rsidR="00A77B3E" w:rsidRDefault="00D0248E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3F880049" wp14:editId="54FD6789">
            <wp:extent cx="6264910" cy="8857017"/>
            <wp:effectExtent l="0" t="0" r="0" b="0"/>
            <wp:docPr id="100007" name="Obraz 100007" descr="fragment mapy - arkus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Obraz 100007" descr="fragment mapy - arkusz 4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61F59" w14:textId="77777777" w:rsidR="00A77B3E" w:rsidRDefault="00D0248E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4640890C" wp14:editId="6D2F28AF">
            <wp:extent cx="6264910" cy="8857017"/>
            <wp:effectExtent l="0" t="0" r="0" b="0"/>
            <wp:docPr id="100009" name="Obraz 100009" descr="fragment ma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Obraz 100009" descr="fragment mapy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D526D" w14:textId="77777777" w:rsidR="00A77B3E" w:rsidRDefault="00D0248E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22CC9ED4" wp14:editId="5A42F202">
            <wp:extent cx="6264910" cy="8857017"/>
            <wp:effectExtent l="0" t="0" r="0" b="0"/>
            <wp:docPr id="100011" name="Obraz 100011" descr="fragment ma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Obraz 100011" descr="fragment mapy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0092C" w14:textId="77777777" w:rsidR="00A77B3E" w:rsidRDefault="00D0248E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5BB85EAC" wp14:editId="46765A50">
            <wp:extent cx="6264910" cy="8857017"/>
            <wp:effectExtent l="0" t="0" r="0" b="0"/>
            <wp:docPr id="100013" name="Obraz 100013" descr="fragment mapy - arkus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Obraz 100013" descr="fragment mapy - arkusz 7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CB447" w14:textId="77777777" w:rsidR="00A77B3E" w:rsidRDefault="00D0248E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7B5BDE08" wp14:editId="142EAD88">
            <wp:extent cx="6264910" cy="8857017"/>
            <wp:effectExtent l="0" t="0" r="0" b="0"/>
            <wp:docPr id="100015" name="Obraz 100015" descr="fragment mapy - arkus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Obraz 100015" descr="fragment mapy - arkusz 8"/>
                    <pic:cNvPicPr>
                      <a:picLocks noChangeAspect="1"/>
                    </pic:cNvPicPr>
                  </pic:nvPicPr>
                  <pic:blipFill>
                    <a:blip r:embed="rId21" r:link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CD2B8" w14:textId="77777777" w:rsidR="00A77B3E" w:rsidRDefault="00D0248E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58B3916F" wp14:editId="522BE72B">
            <wp:extent cx="6264910" cy="8857017"/>
            <wp:effectExtent l="0" t="0" r="0" b="0"/>
            <wp:docPr id="100017" name="Obraz 100017" descr="fragment wklejonej ma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Obraz 100017" descr="fragment wklejonej mapy"/>
                    <pic:cNvPicPr>
                      <a:picLocks noChangeAspect="1"/>
                    </pic:cNvPicPr>
                  </pic:nvPicPr>
                  <pic:blipFill>
                    <a:blip r:embed="rId23" r:link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CCF43" w14:textId="77777777" w:rsidR="00A77B3E" w:rsidRDefault="00A77B3E">
      <w:pPr>
        <w:spacing w:before="120" w:after="120"/>
        <w:ind w:left="283" w:firstLine="227"/>
        <w:jc w:val="left"/>
        <w:rPr>
          <w:color w:val="000000"/>
          <w:u w:color="000000"/>
        </w:rPr>
        <w:sectPr w:rsidR="00A77B3E">
          <w:footerReference w:type="default" r:id="rId25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14:paraId="1497FED5" w14:textId="77777777" w:rsidR="00A77B3E" w:rsidRDefault="00D0248E">
      <w:pPr>
        <w:keepNext/>
        <w:spacing w:before="120" w:after="120" w:line="360" w:lineRule="auto"/>
        <w:ind w:left="5021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2 do uchwały Nr XXXV/477/21</w:t>
      </w:r>
      <w:r>
        <w:rPr>
          <w:color w:val="000000"/>
          <w:u w:color="000000"/>
        </w:rPr>
        <w:br/>
        <w:t>Rady Miasta Piotrkowa Trybunalskiego</w:t>
      </w:r>
      <w:r>
        <w:rPr>
          <w:color w:val="000000"/>
          <w:u w:color="000000"/>
        </w:rPr>
        <w:br/>
        <w:t>z dnia 28 </w:t>
      </w:r>
      <w:r>
        <w:rPr>
          <w:color w:val="000000"/>
          <w:u w:color="000000"/>
        </w:rPr>
        <w:t>kwietnia 2021 r.</w:t>
      </w:r>
    </w:p>
    <w:p w14:paraId="2617DB6A" w14:textId="77777777" w:rsidR="00A77B3E" w:rsidRDefault="00D0248E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DOTYCZĄCE SPOSOBU ROZPATRZENIA UWAG ZGŁOSZONYCH DO PROJEKTU PLANU MIEJSCOWEGO</w:t>
      </w:r>
    </w:p>
    <w:p w14:paraId="7C494786" w14:textId="77777777" w:rsidR="00A77B3E" w:rsidRDefault="00D0248E">
      <w:pPr>
        <w:keepLines/>
        <w:spacing w:before="120" w:after="120"/>
        <w:ind w:firstLine="227"/>
        <w:rPr>
          <w:color w:val="000000"/>
          <w:u w:color="000000"/>
        </w:rPr>
        <w:sectPr w:rsidR="00A77B3E">
          <w:footerReference w:type="default" r:id="rId26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  <w:r>
        <w:rPr>
          <w:color w:val="000000"/>
          <w:u w:color="000000"/>
        </w:rPr>
        <w:t>Na podstawie art. 20 ust. 1 ustawy dnia 27 </w:t>
      </w:r>
      <w:r>
        <w:rPr>
          <w:color w:val="000000"/>
          <w:u w:color="000000"/>
        </w:rPr>
        <w:t>marca 2003 r. o planowaniu i zagospodarowaniu przestrzennym (tj. Dz. U. z 2020 r. poz. 293, 471, 782, 1086, 1378, z 2021 r. poz. 11) Rada Miasta Piotrkowa Trybunalskiego stwierdza, że w ustawowym terminie po wyłożeniu do publicznego wglądu projektu miejsco</w:t>
      </w:r>
      <w:r>
        <w:rPr>
          <w:color w:val="000000"/>
          <w:u w:color="000000"/>
        </w:rPr>
        <w:t xml:space="preserve">wego planu zagospodarowania przestrzennego w rejonie ulic: Łódzkiej, Brzeźnickiej, </w:t>
      </w:r>
      <w:proofErr w:type="spellStart"/>
      <w:r>
        <w:rPr>
          <w:color w:val="000000"/>
          <w:u w:color="000000"/>
        </w:rPr>
        <w:t>Porazińskiej</w:t>
      </w:r>
      <w:proofErr w:type="spellEnd"/>
      <w:r>
        <w:rPr>
          <w:color w:val="000000"/>
          <w:u w:color="000000"/>
        </w:rPr>
        <w:t xml:space="preserve"> oraz projektowanego odcinka Obwodnicy Miejskiej klasy „Z” w Piotrkowie Trybunalskim, nie wniesiono uwag do projektu planu miejscowego.</w:t>
      </w:r>
    </w:p>
    <w:p w14:paraId="2249CD9A" w14:textId="77777777" w:rsidR="00A77B3E" w:rsidRDefault="00D0248E">
      <w:pPr>
        <w:keepNext/>
        <w:spacing w:before="120" w:after="120" w:line="360" w:lineRule="auto"/>
        <w:ind w:left="5021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3 do uchw</w:t>
      </w:r>
      <w:r>
        <w:rPr>
          <w:color w:val="000000"/>
          <w:u w:color="000000"/>
        </w:rPr>
        <w:t>ały Nr XXXV/477/21</w:t>
      </w:r>
      <w:r>
        <w:rPr>
          <w:color w:val="000000"/>
          <w:u w:color="000000"/>
        </w:rPr>
        <w:br/>
        <w:t>Rady Miasta Piotrkowa Trybunalskiego</w:t>
      </w:r>
      <w:r>
        <w:rPr>
          <w:color w:val="000000"/>
          <w:u w:color="000000"/>
        </w:rPr>
        <w:br/>
        <w:t>z dnia 28 kwietnia 2021 r.</w:t>
      </w:r>
    </w:p>
    <w:p w14:paraId="04615268" w14:textId="77777777" w:rsidR="00A77B3E" w:rsidRDefault="00D0248E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DOTYCZĄCE SPOSOBU REALIZACJI ZAPISANYCH</w:t>
      </w:r>
      <w:r>
        <w:rPr>
          <w:b/>
          <w:color w:val="000000"/>
          <w:u w:color="000000"/>
        </w:rPr>
        <w:br/>
        <w:t>W PLANIE MIEJSCOWYM INWESTYCJI Z ZAKRESU INFRASTRUKTURY TECHNICZNEJ, KTÓRE NALEŻĄ DO ZADAŃ WŁASNYCH GMINY ORAZ ZASADA</w:t>
      </w:r>
      <w:r>
        <w:rPr>
          <w:b/>
          <w:color w:val="000000"/>
          <w:u w:color="000000"/>
        </w:rPr>
        <w:t>CH ICH FINANSOWANIA, ZGODNIE Z PRZEPISAMI O FINANSACH PUBLICZNYCH</w:t>
      </w:r>
    </w:p>
    <w:p w14:paraId="24A321DF" w14:textId="77777777" w:rsidR="00A77B3E" w:rsidRDefault="00D0248E">
      <w:pPr>
        <w:keepLines/>
        <w:spacing w:before="120" w:after="120"/>
        <w:ind w:firstLine="227"/>
        <w:rPr>
          <w:color w:val="000000"/>
          <w:u w:color="000000"/>
        </w:rPr>
      </w:pPr>
      <w:r>
        <w:rPr>
          <w:color w:val="000000"/>
          <w:u w:color="000000"/>
        </w:rPr>
        <w:t>Zgodnie z art. 7 ust.1 ustawy z dnia 8 marca 1990 r. o samorządzie gminnym (tj. Dz. U. z 2020 r. poz. 713, 1378) w związku z uchwaleniem miejscowego planu zagospodarowania przestrzennego w r</w:t>
      </w:r>
      <w:r>
        <w:rPr>
          <w:color w:val="000000"/>
          <w:u w:color="000000"/>
        </w:rPr>
        <w:t xml:space="preserve">ejonie ulic: Łódzkiej, Brzeźnickiej, </w:t>
      </w:r>
      <w:proofErr w:type="spellStart"/>
      <w:r>
        <w:rPr>
          <w:color w:val="000000"/>
          <w:u w:color="000000"/>
        </w:rPr>
        <w:t>Porazińskiej</w:t>
      </w:r>
      <w:proofErr w:type="spellEnd"/>
      <w:r>
        <w:rPr>
          <w:color w:val="000000"/>
          <w:u w:color="000000"/>
        </w:rPr>
        <w:t xml:space="preserve"> oraz projektowanego odcinka Obwodnicy Miejskiej klasy „Z” w Piotrkowie Trybunalskim zostaną zagospodarowane kolejne tereny miasta, a dla terenów już zainwestowanych wprowadzone zostaną zasady zagospodarowan</w:t>
      </w:r>
      <w:r>
        <w:rPr>
          <w:color w:val="000000"/>
          <w:u w:color="000000"/>
        </w:rPr>
        <w:t>ia przy uwzględnieniu wymagań ładu przestrzennego w tym urbanistyki i architektury.</w:t>
      </w:r>
    </w:p>
    <w:p w14:paraId="2157236F" w14:textId="77777777" w:rsidR="00A77B3E" w:rsidRDefault="00D0248E">
      <w:pPr>
        <w:spacing w:before="120" w:after="120"/>
        <w:ind w:left="283" w:firstLine="227"/>
        <w:rPr>
          <w:color w:val="000000"/>
          <w:u w:color="000000"/>
        </w:rPr>
        <w:sectPr w:rsidR="00A77B3E">
          <w:footerReference w:type="default" r:id="rId27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  <w:r>
        <w:rPr>
          <w:color w:val="000000"/>
          <w:u w:color="000000"/>
        </w:rPr>
        <w:t xml:space="preserve">Zgodnie z opracowaną prognozą skutków finansowych dla projektu </w:t>
      </w:r>
      <w:r>
        <w:rPr>
          <w:color w:val="000000"/>
          <w:u w:color="000000"/>
        </w:rPr>
        <w:t xml:space="preserve">miejscowego planu zagospodarowania przestrzennego w rejonie ulic: Łódzkiej, Brzeźnickiej, </w:t>
      </w:r>
      <w:proofErr w:type="spellStart"/>
      <w:r>
        <w:rPr>
          <w:color w:val="000000"/>
          <w:u w:color="000000"/>
        </w:rPr>
        <w:t>Porazińskiej</w:t>
      </w:r>
      <w:proofErr w:type="spellEnd"/>
      <w:r>
        <w:rPr>
          <w:color w:val="000000"/>
          <w:u w:color="000000"/>
        </w:rPr>
        <w:t xml:space="preserve"> oraz projektowanego odcinka Obwodnicy Miejskiej klasy „Z” w Piotrkowie Trybunalskim, ustalenia projektowanego planu generują wydatki związane z jego uchw</w:t>
      </w:r>
      <w:r>
        <w:rPr>
          <w:color w:val="000000"/>
          <w:u w:color="000000"/>
        </w:rPr>
        <w:t>aleniem.</w:t>
      </w:r>
    </w:p>
    <w:p w14:paraId="26F70E60" w14:textId="28A27237" w:rsidR="00A77B3E" w:rsidRDefault="00D0248E">
      <w:pPr>
        <w:keepNext/>
        <w:spacing w:before="280" w:after="280" w:line="360" w:lineRule="auto"/>
        <w:ind w:left="453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t>Załącznik Nr 4 do uchwały</w:t>
      </w:r>
      <w:r>
        <w:rPr>
          <w:color w:val="000000"/>
          <w:u w:color="000000"/>
        </w:rPr>
        <w:t xml:space="preserve"> Nr XXXV/477/21</w:t>
      </w:r>
      <w:r>
        <w:rPr>
          <w:color w:val="000000"/>
          <w:u w:color="000000"/>
        </w:rPr>
        <w:br/>
      </w:r>
      <w:r>
        <w:t>Rady Miasta Piotrkowa Trybunalskiego</w:t>
      </w:r>
      <w:r>
        <w:rPr>
          <w:color w:val="000000"/>
          <w:u w:color="000000"/>
        </w:rPr>
        <w:br/>
      </w:r>
      <w:r>
        <w:t>z dnia 28 kwietnia 2021 r.</w:t>
      </w:r>
      <w:r>
        <w:rPr>
          <w:color w:val="000000"/>
          <w:u w:color="000000"/>
        </w:rPr>
        <w:br/>
      </w:r>
      <w:hyperlink r:id="rId28" w:history="1">
        <w:r>
          <w:rPr>
            <w:rStyle w:val="Hipercze"/>
            <w:color w:val="000000"/>
            <w:u w:val="none" w:color="000000"/>
          </w:rPr>
          <w:t>Zalacznik4.gml</w:t>
        </w:r>
      </w:hyperlink>
    </w:p>
    <w:p w14:paraId="6EEF436D" w14:textId="77777777" w:rsidR="00A77B3E" w:rsidRDefault="00D0248E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Dane przestrzenne</w:t>
      </w:r>
    </w:p>
    <w:sectPr w:rsidR="00A77B3E">
      <w:footerReference w:type="default" r:id="rId29"/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D9C6BF" w14:textId="77777777" w:rsidR="00000000" w:rsidRDefault="00D0248E">
      <w:r>
        <w:separator/>
      </w:r>
    </w:p>
  </w:endnote>
  <w:endnote w:type="continuationSeparator" w:id="0">
    <w:p w14:paraId="31DC1000" w14:textId="77777777" w:rsidR="00000000" w:rsidRDefault="00D024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F9044B" w14:paraId="09383A2F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60849E5E" w14:textId="77777777" w:rsidR="00F9044B" w:rsidRDefault="00D0248E">
          <w:pPr>
            <w:jc w:val="left"/>
            <w:rPr>
              <w:sz w:val="18"/>
            </w:rPr>
          </w:pPr>
          <w:r>
            <w:rPr>
              <w:sz w:val="18"/>
            </w:rPr>
            <w:t>Id: C2825910-AAA3-41EB-B78B-C348A948121C.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5ABC69EB" w14:textId="77777777" w:rsidR="00F9044B" w:rsidRDefault="00D0248E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4D1CE06F" w14:textId="77777777" w:rsidR="00F9044B" w:rsidRDefault="00F9044B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F9044B" w14:paraId="3A15A70A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53EF1567" w14:textId="77777777" w:rsidR="00F9044B" w:rsidRDefault="00D0248E">
          <w:pPr>
            <w:jc w:val="left"/>
            <w:rPr>
              <w:sz w:val="18"/>
            </w:rPr>
          </w:pPr>
          <w:r>
            <w:rPr>
              <w:sz w:val="18"/>
            </w:rPr>
            <w:t>Id: C2825910-AAA3-41EB-B78B-C348A948121C.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1614E158" w14:textId="77777777" w:rsidR="00F9044B" w:rsidRDefault="00D0248E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6BB5FBB4" w14:textId="77777777" w:rsidR="00F9044B" w:rsidRDefault="00F9044B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F9044B" w14:paraId="561EA033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1623FFBF" w14:textId="77777777" w:rsidR="00F9044B" w:rsidRDefault="00D0248E">
          <w:pPr>
            <w:jc w:val="left"/>
            <w:rPr>
              <w:sz w:val="18"/>
            </w:rPr>
          </w:pPr>
          <w:r>
            <w:rPr>
              <w:sz w:val="18"/>
            </w:rPr>
            <w:t>Id: C2825910-AAA3-41EB-B78B-C348A948121C.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7E17121B" w14:textId="77777777" w:rsidR="00F9044B" w:rsidRDefault="00D0248E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6FF4B13F" w14:textId="77777777" w:rsidR="00F9044B" w:rsidRDefault="00F9044B">
    <w:pPr>
      <w:rPr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F9044B" w14:paraId="20624036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61428746" w14:textId="77777777" w:rsidR="00F9044B" w:rsidRDefault="00D0248E">
          <w:pPr>
            <w:jc w:val="left"/>
            <w:rPr>
              <w:sz w:val="18"/>
            </w:rPr>
          </w:pPr>
          <w:r>
            <w:rPr>
              <w:sz w:val="18"/>
            </w:rPr>
            <w:t>Id: C2825910-AAA3-41EB-B78B-C348A948121C.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504C7646" w14:textId="77777777" w:rsidR="00F9044B" w:rsidRDefault="00D0248E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744616DB" w14:textId="77777777" w:rsidR="00F9044B" w:rsidRDefault="00F9044B">
    <w:pPr>
      <w:rPr>
        <w:sz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F9044B" w14:paraId="69E4841D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371AEBA1" w14:textId="77777777" w:rsidR="00F9044B" w:rsidRDefault="00D0248E">
          <w:pPr>
            <w:jc w:val="left"/>
            <w:rPr>
              <w:sz w:val="18"/>
            </w:rPr>
          </w:pPr>
          <w:r>
            <w:rPr>
              <w:sz w:val="18"/>
            </w:rPr>
            <w:t>Id: C2825910-AAA3-41EB-B78B-C348A948121C.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1ECE42C7" w14:textId="77777777" w:rsidR="00F9044B" w:rsidRDefault="00D0248E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7EAD32BC" w14:textId="77777777" w:rsidR="00F9044B" w:rsidRDefault="00F9044B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FDF69B" w14:textId="77777777" w:rsidR="00000000" w:rsidRDefault="00D0248E">
      <w:r>
        <w:separator/>
      </w:r>
    </w:p>
  </w:footnote>
  <w:footnote w:type="continuationSeparator" w:id="0">
    <w:p w14:paraId="502FAD38" w14:textId="77777777" w:rsidR="00000000" w:rsidRDefault="00D024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A77B3E"/>
    <w:rsid w:val="00CA2A55"/>
    <w:rsid w:val="00D0248E"/>
    <w:rsid w:val="00F90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6127CD9"/>
  <w15:docId w15:val="{54E70D01-BAE8-45D2-9E7B-DDBCC9015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EF7B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F88B5B2A-1E3F-4182-8572-663DD3859F6D.jpg" TargetMode="External"/><Relationship Id="rId13" Type="http://schemas.openxmlformats.org/officeDocument/2006/relationships/image" Target="media/image4.png"/><Relationship Id="rId18" Type="http://schemas.openxmlformats.org/officeDocument/2006/relationships/image" Target="Zalacznik324B133F-50F9-4DF4-BA25-D976008BEFEA.jpg" TargetMode="External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image" Target="Zalacznik26EC82AF-A21E-4E7D-8264-86DFCE246C00.jpg" TargetMode="External"/><Relationship Id="rId17" Type="http://schemas.openxmlformats.org/officeDocument/2006/relationships/image" Target="media/image6.pn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ZalacznikFF645373-F43C-4FF9-88B6-FAC391106F31.jpg" TargetMode="External"/><Relationship Id="rId20" Type="http://schemas.openxmlformats.org/officeDocument/2006/relationships/image" Target="ZalacznikE9CD2C33-1D23-4455-BE8D-E3B899C4D69A.jpg" TargetMode="External"/><Relationship Id="rId29" Type="http://schemas.openxmlformats.org/officeDocument/2006/relationships/footer" Target="footer5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24" Type="http://schemas.openxmlformats.org/officeDocument/2006/relationships/image" Target="ZalacznikB7A61B15-ED73-4A8E-8529-5E6EEBE775FF.jp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file:///C:\Users\Gora_M\ezdpuw\20210507091848948\Zalacznik4.gml" TargetMode="External"/><Relationship Id="rId10" Type="http://schemas.openxmlformats.org/officeDocument/2006/relationships/image" Target="Zalacznik266678BB-0C24-4BC9-AFE7-F265A554D355.jpg" TargetMode="Externa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ZalacznikDF5D4BB9-42E1-4A55-BBFC-584F1AEBAA6C.jpg" TargetMode="External"/><Relationship Id="rId22" Type="http://schemas.openxmlformats.org/officeDocument/2006/relationships/image" Target="ZalacznikED2364F0-827D-4734-BEEF-9918C334CE16.jpg" TargetMode="External"/><Relationship Id="rId27" Type="http://schemas.openxmlformats.org/officeDocument/2006/relationships/footer" Target="footer4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23</Pages>
  <Words>3750</Words>
  <Characters>24615</Characters>
  <Application>Microsoft Office Word</Application>
  <DocSecurity>4</DocSecurity>
  <Lines>205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Miasta Piotrkowa Trybunalskiego</Company>
  <LinksUpToDate>false</LinksUpToDate>
  <CharactersWithSpaces>28309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XXXV/477/21 z dnia 28 kwietnia 2021 r.</dc:title>
  <dc:subject>w sprawie miejscowego planu zagospodarowania przestrzennego w^rejonie ulic: Łódzkiej, Brzeźnickiej, Porazińskiej oraz projektowanego odcinka Obwodnicy Miejskiej klasy „Z”
w Piotrkowie Trybunalskim</dc:subject>
  <dc:creator>Mroz_M</dc:creator>
  <cp:lastModifiedBy>Góra Marcin</cp:lastModifiedBy>
  <cp:revision>2</cp:revision>
  <dcterms:created xsi:type="dcterms:W3CDTF">2021-05-07T07:24:00Z</dcterms:created>
  <dcterms:modified xsi:type="dcterms:W3CDTF">2021-05-07T07:24:00Z</dcterms:modified>
  <cp:category>Akt prawny</cp:category>
</cp:coreProperties>
</file>