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22071F" w14:paraId="162378B5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F495B8B" w14:textId="77777777" w:rsidR="00A77B3E" w:rsidRDefault="00E4598C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3C49D3D0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774FB730" w14:textId="77777777" w:rsidR="00A77B3E" w:rsidRDefault="00E4598C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21 kwietnia 2021 r.</w:t>
            </w:r>
          </w:p>
          <w:p w14:paraId="4833AA77" w14:textId="77777777" w:rsidR="00A77B3E" w:rsidRDefault="00E4598C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011F8528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3143EE8E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69DA82CB" w14:textId="77777777" w:rsidR="00A77B3E" w:rsidRDefault="00A77B3E"/>
    <w:p w14:paraId="7ED88F6E" w14:textId="77777777" w:rsidR="00A77B3E" w:rsidRDefault="00E4598C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550363D9" w14:textId="77777777" w:rsidR="00A77B3E" w:rsidRDefault="00E4598C">
      <w:pPr>
        <w:spacing w:before="280" w:after="280"/>
        <w:jc w:val="center"/>
        <w:rPr>
          <w:b/>
          <w:caps/>
        </w:rPr>
      </w:pPr>
      <w:r>
        <w:t>z dnia .................... 2021 r.</w:t>
      </w:r>
    </w:p>
    <w:p w14:paraId="7E1A6374" w14:textId="77777777" w:rsidR="00A77B3E" w:rsidRDefault="00E4598C">
      <w:pPr>
        <w:keepNext/>
        <w:spacing w:after="480"/>
        <w:jc w:val="center"/>
      </w:pPr>
      <w:r>
        <w:rPr>
          <w:b/>
        </w:rPr>
        <w:t xml:space="preserve">w sprawie miejscowego planu zagospodarowania </w:t>
      </w:r>
      <w:r>
        <w:rPr>
          <w:b/>
        </w:rPr>
        <w:t xml:space="preserve">przestrzennego w rejonie ulic: Łódzkiej, Brzeźnickiej, </w:t>
      </w:r>
      <w:proofErr w:type="spellStart"/>
      <w:r>
        <w:rPr>
          <w:b/>
        </w:rPr>
        <w:t>Porazińskiej</w:t>
      </w:r>
      <w:proofErr w:type="spellEnd"/>
      <w:r>
        <w:rPr>
          <w:b/>
        </w:rPr>
        <w:t xml:space="preserve"> oraz projektowanego odcinka Obwodnicy Miejskiej klasy „Z”</w:t>
      </w:r>
      <w:r>
        <w:rPr>
          <w:b/>
        </w:rPr>
        <w:br/>
        <w:t>w Piotrkowie Trybunalskim</w:t>
      </w:r>
    </w:p>
    <w:p w14:paraId="5566615C" w14:textId="77777777" w:rsidR="00A77B3E" w:rsidRDefault="00E4598C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</w:t>
      </w:r>
      <w:r>
        <w:t>estrzennym (</w:t>
      </w:r>
      <w:proofErr w:type="spellStart"/>
      <w:r>
        <w:t>t.j</w:t>
      </w:r>
      <w:proofErr w:type="spellEnd"/>
      <w:r>
        <w:t>. Dz. U. z 2020 r. poz. 293, 471, 782, 1086, 1378, z 2021 r. poz. 11), uchwala się co następuje:</w:t>
      </w:r>
    </w:p>
    <w:p w14:paraId="53B1E8F4" w14:textId="77777777" w:rsidR="00A77B3E" w:rsidRDefault="00E4598C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6B42AD02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 xml:space="preserve">Stwierdza się, że miejscowy plan zagospodarowania przestrzennego w rejonie ulic: Łódzkiej, </w:t>
      </w:r>
      <w:r>
        <w:t xml:space="preserve">Brzeźnickiej, </w:t>
      </w:r>
      <w:proofErr w:type="spellStart"/>
      <w:r>
        <w:t>Porazińskiej</w:t>
      </w:r>
      <w:proofErr w:type="spellEnd"/>
      <w:r>
        <w:t xml:space="preserve"> oraz projektowanego odcinka Obwodnicy Miejskiej klasy „Z” w Piotrkowie Trybunalskim, nie narusza ustaleń obowiązującego „Studium uwarunkowań i kierunków zagospodarowania przestrzennego miasta Piotrkowa Trybunalskiego” przyjętego </w:t>
      </w:r>
      <w:r>
        <w:t>Uchwałą Nr XLIX/837/06 Rady Miasta Piotrkowa Trybunalskiego z dnia 29 marca 2006 roku z późniejszymi zmianami przyjętymi Uchwałą Nr XIV/297/11 Rady Miasta Piotrkowa Trybunalskiego z dnia 30 listopada 2011 roku, Uchwałą Nr XXVII/359/16 z dnia 26 październik</w:t>
      </w:r>
      <w:r>
        <w:t>a 2016 roku i Uchwałą Nr XLVII/566/17 z dnia 25 października 2017 roku.</w:t>
      </w:r>
    </w:p>
    <w:p w14:paraId="77F413CB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Uchwala się miejscowy plan zagospodarowania przestrzennego w rejonie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</w:t>
      </w:r>
      <w:r>
        <w:rPr>
          <w:color w:val="000000"/>
          <w:u w:color="000000"/>
        </w:rPr>
        <w:t>Piotrkowie Trybunalskim w granicach określonych w Uchwale Nr XI/171/19 Rady Miasta Piotrkowa Trybunalskiego z dnia 25 września 2019 roku w sprawie przystąpienia do sporządzenia miejscowego planu zagospodarowania przestrzennego w rejonie ulic: Łódzkiej, Brz</w:t>
      </w:r>
      <w:r>
        <w:rPr>
          <w:color w:val="000000"/>
          <w:u w:color="000000"/>
        </w:rPr>
        <w:t xml:space="preserve">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 „Z” w Piotrkowie Trybunalskim.</w:t>
      </w:r>
    </w:p>
    <w:p w14:paraId="69A84C81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14:paraId="788BD125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14:paraId="26E361F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</w:t>
      </w:r>
      <w:r>
        <w:rPr>
          <w:color w:val="000000"/>
          <w:u w:color="000000"/>
        </w:rPr>
        <w:t xml:space="preserve"> niniejszej uchwały;</w:t>
      </w:r>
    </w:p>
    <w:p w14:paraId="7C312AC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niniejszej uchwały;</w:t>
      </w:r>
    </w:p>
    <w:p w14:paraId="0543C28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</w:t>
      </w:r>
      <w:r>
        <w:rPr>
          <w:color w:val="000000"/>
          <w:u w:color="000000"/>
        </w:rPr>
        <w:t>ktury technicznej, które należą do zadań własnych gminy oraz zasad ich finansowania, zgodnie z przepisami ustawy o finansach publicznych, stanowiące załącznik nr 3 do niniejszej uchwały;</w:t>
      </w:r>
    </w:p>
    <w:p w14:paraId="138B918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 4 do niniejszej uchwały</w:t>
      </w:r>
      <w:r>
        <w:rPr>
          <w:color w:val="000000"/>
          <w:u w:color="000000"/>
        </w:rPr>
        <w:t>.</w:t>
      </w:r>
    </w:p>
    <w:p w14:paraId="6C5B0757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14:paraId="7B3574E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zabudowy mieszkaniowej jednorodzinnej – oznaczone na rysunku planu symbolem MN;</w:t>
      </w:r>
    </w:p>
    <w:p w14:paraId="4CD2120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zieleni urządzonej – oznaczone na rysunku planu symbolem ZU;</w:t>
      </w:r>
    </w:p>
    <w:p w14:paraId="320AE0E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tereny komunikacji samochodowej – parkingi – oznaczone na</w:t>
      </w:r>
      <w:r>
        <w:rPr>
          <w:color w:val="000000"/>
          <w:u w:color="000000"/>
        </w:rPr>
        <w:t xml:space="preserve"> rysunku planu symbolem KP;</w:t>
      </w:r>
    </w:p>
    <w:p w14:paraId="6663AF0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dróg publicznych – droga zbiorcza, oznaczona na rysunku planu symbolem KDZ;</w:t>
      </w:r>
    </w:p>
    <w:p w14:paraId="193E6B9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tereny dróg publicznych – droga dojazdowa, oznaczona na rysunku planu symbolem KDD.</w:t>
      </w:r>
    </w:p>
    <w:p w14:paraId="0AB28E1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6. </w:t>
      </w:r>
      <w:r>
        <w:rPr>
          <w:color w:val="000000"/>
          <w:u w:color="000000"/>
        </w:rPr>
        <w:t>Rysunek planu zawiera oznaczenia obowiązujące i info</w:t>
      </w:r>
      <w:r>
        <w:rPr>
          <w:color w:val="000000"/>
          <w:u w:color="000000"/>
        </w:rPr>
        <w:t>rmacyjne, zgodnie z legendą oznaczeń zamieszczoną na rysunku planu.</w:t>
      </w:r>
    </w:p>
    <w:p w14:paraId="7F0118EF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Położenie linii rozgraniczających i linii zabudowy w miejscach, które nie zostały zwymiarowane na rysunku planu należy ustalać poprzez odczyt rysunku planu w oparciu o jego skalę.</w:t>
      </w:r>
    </w:p>
    <w:p w14:paraId="68268534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28D109D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767235F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</w:t>
      </w:r>
      <w:r>
        <w:rPr>
          <w:color w:val="000000"/>
          <w:u w:color="000000"/>
        </w:rPr>
        <w:t>wania;</w:t>
      </w:r>
    </w:p>
    <w:p w14:paraId="168C666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234116A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zabudowy mieszkaniowej jednorodzinnej;</w:t>
      </w:r>
    </w:p>
    <w:p w14:paraId="130F802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tereny zieleni urządzonej;</w:t>
      </w:r>
    </w:p>
    <w:p w14:paraId="54B33BF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komunikacji – parkingi;</w:t>
      </w:r>
    </w:p>
    <w:p w14:paraId="7B0F711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tereny dróg publicznych – droga zbiorcza;</w:t>
      </w:r>
    </w:p>
    <w:p w14:paraId="1A72E98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tereny dróg publicznych – droga dojazdowa;</w:t>
      </w:r>
    </w:p>
    <w:p w14:paraId="4574EBD4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strefa ograniczonego użytkowania od napowietrznej linii elektroenergetycznej LN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3188086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strefa ograniczonego użytkowania od napowietrznej linii elektroenergetycznej LN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4AB7D9F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napowietrzna linia elektroenergetyczna LN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0A32DF6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napowietrzna linia elektroenergetyczna LN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5CB1757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zieleń izolacyjna.</w:t>
      </w:r>
    </w:p>
    <w:p w14:paraId="1EF44A86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 są oznaczeniami informacyjnymi.</w:t>
      </w:r>
    </w:p>
    <w:p w14:paraId="1CDBA690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3191986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linii rozgranicz</w:t>
      </w:r>
      <w:r>
        <w:rPr>
          <w:color w:val="000000"/>
          <w:u w:color="000000"/>
        </w:rPr>
        <w:t>ającej tereny o różnym przeznaczeniu lub różnych zasadach zagospodarowania – należy przez to rozumieć oznaczoną na rysunku planu linię ciągłą, dzielącą obszar na części o różnym przeznaczeniu lub różnych zasadach zagospodarowania;</w:t>
      </w:r>
    </w:p>
    <w:p w14:paraId="3990D38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nieprzekraczalnej lini</w:t>
      </w:r>
      <w:r>
        <w:rPr>
          <w:color w:val="000000"/>
          <w:u w:color="000000"/>
        </w:rPr>
        <w:t xml:space="preserve">i zabudowy – należy przez to rozumieć oznaczoną na rysunku planu linię graniczną sytuowania nadziemnych kondygnacji budynków, altan i wiat; dopuszcza się przekroczenie tej linii o elementy wystroju architektonicznego, elementy ustrojów na stałe związanych </w:t>
      </w:r>
      <w:r>
        <w:rPr>
          <w:color w:val="000000"/>
          <w:u w:color="000000"/>
        </w:rPr>
        <w:t>z konstrukcją budynku na odległość do 1,0 m;</w:t>
      </w:r>
    </w:p>
    <w:p w14:paraId="040FC4A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obszarze planu – należy przez to rozumieć obszar objęty planem w granicach przedstawionych na rysunku planu;</w:t>
      </w:r>
    </w:p>
    <w:p w14:paraId="6BF7EFA4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powierzchni zabudowy – należy przez to rozumieć powierzchnię działki budowlanej zajętą przez rzu</w:t>
      </w:r>
      <w:r>
        <w:rPr>
          <w:color w:val="000000"/>
          <w:u w:color="000000"/>
        </w:rPr>
        <w:t>ty poziome wszystkich budynków w ich obrysach zewnętrznych, przy czym do powierzchni zabudowy nie wlicza się powierzchni elementów takich jak: schody i pochylnie zewnętrzne, tarasy naziemne, rampy zewnętrzne, daszki, okapy dachowe, występy dachowe, podziem</w:t>
      </w:r>
      <w:r>
        <w:rPr>
          <w:color w:val="000000"/>
          <w:u w:color="000000"/>
        </w:rPr>
        <w:t>ne części budynków, studzienki piwniczne, powierzchnie pod daszkami ochronnymi;</w:t>
      </w:r>
    </w:p>
    <w:p w14:paraId="21B1508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rysunku planu – należy przez to rozumieć opracowanie graficzne sporządzone na urzędowej kopii mapy zasadniczej, pochodzącej z państwowego zasobu geodezyjnego i kartograficzn</w:t>
      </w:r>
      <w:r>
        <w:rPr>
          <w:color w:val="000000"/>
          <w:u w:color="000000"/>
        </w:rPr>
        <w:t>ego w skali 1:1000;</w:t>
      </w:r>
    </w:p>
    <w:p w14:paraId="2A6B1EE4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terenie – należy przez to rozumieć teren wyznaczony na rysunku planu liniami rozgraniczającymi tereny o różnym przeznaczeniu lub różnych zasadach zagospodarowania oraz oznaczony symbolami cyfrowymi i literowymi, z których cyfry oznac</w:t>
      </w:r>
      <w:r>
        <w:rPr>
          <w:color w:val="000000"/>
          <w:u w:color="000000"/>
        </w:rPr>
        <w:t>zają kolejny numer terenu, a litery jego przeznaczenie;</w:t>
      </w:r>
    </w:p>
    <w:p w14:paraId="6A8CCE1E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wskaźniku intensywności zabudowy – należy przez to rozumieć stosunek sumy powierzchni całkowitych (wszystkich kondygnacji nadziemnych) wszystkich budynków położonych na działce budowalnej do powier</w:t>
      </w:r>
      <w:r>
        <w:rPr>
          <w:color w:val="000000"/>
          <w:u w:color="000000"/>
        </w:rPr>
        <w:t>zchni działki budowlanej;</w:t>
      </w:r>
    </w:p>
    <w:p w14:paraId="36CC451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8) </w:t>
      </w:r>
      <w:r>
        <w:rPr>
          <w:color w:val="000000"/>
          <w:u w:color="000000"/>
        </w:rPr>
        <w:t>wysokości zabudowy – należy przez to rozumieć ustalony w planie nieprzekraczalny maksymalny pionowy wymiar obiektu budowlanego, liczony w metrach, od najniższego  poziomu terenu, na którym posadowiony jest obiekt budowlany do n</w:t>
      </w:r>
      <w:r>
        <w:rPr>
          <w:color w:val="000000"/>
          <w:u w:color="000000"/>
        </w:rPr>
        <w:t>ajwyższego jego punktu;</w:t>
      </w:r>
    </w:p>
    <w:p w14:paraId="558273C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zieleń izolacyjna – należy przez to rozumieć pas zwartej zieleni wielopiętrowej, w tym wysokiej, złożony z gatunków roślin odpornych na zanieczyszczenia, stanowiący izolację akustyczną i ochronną przed zanieczyszczeniami.</w:t>
      </w:r>
    </w:p>
    <w:p w14:paraId="08A10BB1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</w:t>
      </w:r>
      <w:r>
        <w:rPr>
          <w:color w:val="000000"/>
          <w:u w:color="000000"/>
        </w:rPr>
        <w:t>a obszaru, o którym mowa w §1, plan ustala:</w:t>
      </w:r>
    </w:p>
    <w:p w14:paraId="254A29B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 różnych zasadach zagospodarowania;</w:t>
      </w:r>
    </w:p>
    <w:p w14:paraId="292F35F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1335E81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 i przyr</w:t>
      </w:r>
      <w:r>
        <w:rPr>
          <w:color w:val="000000"/>
          <w:u w:color="000000"/>
        </w:rPr>
        <w:t>ody;</w:t>
      </w:r>
    </w:p>
    <w:p w14:paraId="1615D6B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zabudowy oraz wskaźniki zagospodarowania terenu:</w:t>
      </w:r>
    </w:p>
    <w:p w14:paraId="5EDBA0FE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2ABC210B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</w:t>
      </w:r>
      <w:r>
        <w:rPr>
          <w:color w:val="000000"/>
          <w:u w:color="000000"/>
        </w:rPr>
        <w:t>ierzchni biologicznie czynnej w odniesieniu do powierzchni działki budowlanej,</w:t>
      </w:r>
    </w:p>
    <w:p w14:paraId="0E4C64A3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23BD7930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), w tym miejsca przeznaczone na parkowanie pojazdów zaopatrzonych w kartę parkingową i sposób </w:t>
      </w:r>
      <w:r>
        <w:rPr>
          <w:color w:val="000000"/>
          <w:u w:color="000000"/>
        </w:rPr>
        <w:t>ich realizacji,</w:t>
      </w:r>
    </w:p>
    <w:p w14:paraId="36DEF437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224BAA4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4BD0973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minimalną powierzchnię nowo wydzielonych działek budowlanych;</w:t>
      </w:r>
    </w:p>
    <w:p w14:paraId="1C46445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szczególne warunki </w:t>
      </w:r>
      <w:r>
        <w:rPr>
          <w:color w:val="000000"/>
          <w:u w:color="000000"/>
        </w:rPr>
        <w:t>zagospodarowania terenów oraz ograniczenia w ich użytkowaniu, w tym zakaz zabudowy;</w:t>
      </w:r>
    </w:p>
    <w:p w14:paraId="4EB8A74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zasady modernizacji, przebudowy, rozbudowy i budowy systemu komunikacji i infrastruktury technicznej;</w:t>
      </w:r>
    </w:p>
    <w:p w14:paraId="1CF546C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sposoby i terminy tymczasowego zagospodarowania, urządzania i uż</w:t>
      </w:r>
      <w:r>
        <w:rPr>
          <w:color w:val="000000"/>
          <w:u w:color="000000"/>
        </w:rPr>
        <w:t>ytkowania terenów;</w:t>
      </w:r>
    </w:p>
    <w:p w14:paraId="08A9E65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14:paraId="78F55B9B" w14:textId="77777777" w:rsidR="00A77B3E" w:rsidRDefault="00E4598C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77C853A0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Zasady ochrony i kształtowania ładu przestrzenn</w:t>
      </w:r>
      <w:r>
        <w:rPr>
          <w:color w:val="000000"/>
          <w:u w:color="000000"/>
        </w:rPr>
        <w:t>ego:</w:t>
      </w:r>
    </w:p>
    <w:p w14:paraId="5B3D06F4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przy rozbudowie, nadbudowie, przebudowie i zmianie sposobu użytkowania obiektów budowalnych, obowiązują ustalenia szczegółowe dla poszczególnych terenów.</w:t>
      </w:r>
    </w:p>
    <w:p w14:paraId="4F4092C9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środowiska, przyrody i krajobrazu:</w:t>
      </w:r>
    </w:p>
    <w:p w14:paraId="7B4C022E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realizacji przedsięwzięć mogącyc</w:t>
      </w:r>
      <w:r>
        <w:rPr>
          <w:color w:val="000000"/>
          <w:u w:color="000000"/>
        </w:rPr>
        <w:t>h zawsze znacząco i potencjalnie znacząco oddziaływać na środowisko, z wyjątkiem inwestycji celu publicznego z zakresu telekomunikacji, infrastruktury drogowej i technicznej;</w:t>
      </w:r>
    </w:p>
    <w:p w14:paraId="2DFCA4C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obowiązek zachowania poziomu hałasu w środowisku określonego w obowiązujących </w:t>
      </w:r>
      <w:r>
        <w:rPr>
          <w:color w:val="000000"/>
          <w:u w:color="000000"/>
        </w:rPr>
        <w:t>przepisach o ochronie środowiska podlegają:</w:t>
      </w:r>
    </w:p>
    <w:p w14:paraId="50497EAB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oznaczone symbolem MN – jak dla zabudowy mieszkaniowej jednorodzinnej,</w:t>
      </w:r>
    </w:p>
    <w:p w14:paraId="2E8D37F2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pozostałe tereny nie są normowane akustycznie.</w:t>
      </w:r>
    </w:p>
    <w:p w14:paraId="7AA7FFE0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dziedzictwa kulturowego i zabytków oraz dóbr kultury współczesn</w:t>
      </w:r>
      <w:r>
        <w:rPr>
          <w:color w:val="000000"/>
          <w:u w:color="000000"/>
        </w:rPr>
        <w:t>ej:</w:t>
      </w:r>
    </w:p>
    <w:p w14:paraId="1A1020B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obszarze planu nie występują obiekty dziedzictwa kulturowego i zabytków oraz dóbr kultury współczesnej, wobec czego plan nie ustala wymagań w tym zakresie.</w:t>
      </w:r>
    </w:p>
    <w:p w14:paraId="77C425DB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4. </w:t>
      </w:r>
      <w:r>
        <w:rPr>
          <w:color w:val="000000"/>
          <w:u w:color="000000"/>
        </w:rPr>
        <w:t>Wymagania wynikające z kształtowania przestrzeni publicznych:</w:t>
      </w:r>
    </w:p>
    <w:p w14:paraId="3AED3BC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do </w:t>
      </w:r>
      <w:r>
        <w:rPr>
          <w:color w:val="000000"/>
          <w:u w:color="000000"/>
        </w:rPr>
        <w:t>przestrzeni publicznych zalicza się:</w:t>
      </w:r>
    </w:p>
    <w:p w14:paraId="3A1BB0B1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dróg publicznych oznaczone na rysunku planu symbolami 1KDZ, 2KDZ, 3KDZ, 1KDD i 2KDD,</w:t>
      </w:r>
    </w:p>
    <w:p w14:paraId="535636E3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zieleni urządzonej oznaczony na rysunku planu symbolem 1ZU;</w:t>
      </w:r>
    </w:p>
    <w:p w14:paraId="2D84925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</w:t>
      </w:r>
      <w:r>
        <w:rPr>
          <w:color w:val="000000"/>
          <w:u w:color="000000"/>
        </w:rPr>
        <w:t>dnorodnych nawierzchni dla ciągów pieszych i chodników, przy czym zakazuje się stosowania asfaltów jako ich nawierzchni;</w:t>
      </w:r>
    </w:p>
    <w:p w14:paraId="51EEA7F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plan nie wyznacza obszarów przestrzeni publicznych.</w:t>
      </w:r>
    </w:p>
    <w:p w14:paraId="4BAF57F8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Granice i sposoby zagospodarowania terenów lub obiektów podlegających ochroni</w:t>
      </w:r>
      <w:r>
        <w:rPr>
          <w:color w:val="000000"/>
          <w:u w:color="000000"/>
        </w:rPr>
        <w:t>e, ustalonych na podstawie odrębnych przepisów, w tym terenów górniczych, a także narażonych na niebezpieczeństwo powodzi oraz zagrożonych osuwaniem się mas ziemnych:</w:t>
      </w:r>
    </w:p>
    <w:p w14:paraId="20CEB4B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</w:t>
      </w:r>
      <w:r>
        <w:rPr>
          <w:color w:val="000000"/>
          <w:u w:color="000000"/>
        </w:rPr>
        <w:t>agań w tym zakresie;</w:t>
      </w:r>
    </w:p>
    <w:p w14:paraId="34F882D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3CC127B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na obszarze objętym planem nie występują zjawiska związane z osuwaniem się mas ziemnych, wobec czego </w:t>
      </w:r>
      <w:r>
        <w:rPr>
          <w:color w:val="000000"/>
          <w:u w:color="000000"/>
        </w:rPr>
        <w:t>plan nie nakłada wymagań w tym zakresie.</w:t>
      </w:r>
    </w:p>
    <w:p w14:paraId="591D3946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Zasady przebudowy (modernizacji), rozbudowy i budowy infrastruktury technicznej:</w:t>
      </w:r>
    </w:p>
    <w:p w14:paraId="512B093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</w:t>
      </w:r>
      <w:r>
        <w:rPr>
          <w:color w:val="000000"/>
          <w:u w:color="000000"/>
        </w:rPr>
        <w:t>przez ich rozbudowę;</w:t>
      </w:r>
    </w:p>
    <w:p w14:paraId="7B0CAA0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i budowę sieci i urządzeń infrastruktury technicznej;</w:t>
      </w:r>
    </w:p>
    <w:p w14:paraId="2FE42A8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urządzeń wytwarzających energię z odnawialnych źródeł energii wykorzystujących siłę wiatru oraz wytwarzających energię z biogazu lub</w:t>
      </w:r>
      <w:r>
        <w:rPr>
          <w:color w:val="000000"/>
          <w:u w:color="000000"/>
        </w:rPr>
        <w:t xml:space="preserve"> </w:t>
      </w:r>
      <w:proofErr w:type="spellStart"/>
      <w:r>
        <w:rPr>
          <w:color w:val="000000"/>
          <w:u w:color="000000"/>
        </w:rPr>
        <w:t>biopłynów</w:t>
      </w:r>
      <w:proofErr w:type="spellEnd"/>
      <w:r>
        <w:rPr>
          <w:color w:val="000000"/>
          <w:u w:color="000000"/>
        </w:rPr>
        <w:t xml:space="preserve"> na całym obszarze objętym planem;</w:t>
      </w:r>
    </w:p>
    <w:p w14:paraId="5F4088A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zakaz lokalizacji urządzeń wytwarzających energię z odnawialnych źródeł energii o mocy przekraczającej moc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;</w:t>
      </w:r>
    </w:p>
    <w:p w14:paraId="49C697E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urządzeń wytwarzających energię z odnawialnych źródeł energii o</w:t>
      </w:r>
      <w:r>
        <w:rPr>
          <w:color w:val="000000"/>
          <w:u w:color="000000"/>
        </w:rPr>
        <w:t> mocy przekraczającej 100 </w:t>
      </w:r>
      <w:proofErr w:type="spellStart"/>
      <w:r>
        <w:rPr>
          <w:color w:val="000000"/>
          <w:u w:color="000000"/>
        </w:rPr>
        <w:t>kW.</w:t>
      </w:r>
      <w:proofErr w:type="spellEnd"/>
    </w:p>
    <w:p w14:paraId="62BE45B8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388584A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</w:t>
      </w:r>
      <w:r>
        <w:rPr>
          <w:color w:val="000000"/>
          <w:u w:color="000000"/>
        </w:rPr>
        <w:t>udową;</w:t>
      </w:r>
    </w:p>
    <w:p w14:paraId="753EC83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zapewnienia wykorzystania dróg publicznych i terenów zieleni urządzonej do celów p. </w:t>
      </w:r>
      <w:proofErr w:type="spellStart"/>
      <w:r>
        <w:rPr>
          <w:color w:val="000000"/>
          <w:u w:color="000000"/>
        </w:rPr>
        <w:t>poż</w:t>
      </w:r>
      <w:proofErr w:type="spellEnd"/>
      <w:r>
        <w:rPr>
          <w:color w:val="000000"/>
          <w:u w:color="000000"/>
        </w:rPr>
        <w:t>., dla sprzętu ratowniczego i w sytuacjach kryzysowych;</w:t>
      </w:r>
    </w:p>
    <w:p w14:paraId="0493E61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ochrona przeciwpożarowa obiektów budowlanych poprzez hydranty lub zbiorniki przeciwpożarow</w:t>
      </w:r>
      <w:r>
        <w:rPr>
          <w:color w:val="000000"/>
          <w:u w:color="000000"/>
        </w:rPr>
        <w:t>e, montowane na sieci wodociągowej zgodnie z przepisami odrębnymi.</w:t>
      </w:r>
    </w:p>
    <w:p w14:paraId="38EF8B07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58B550A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oraz budynki i budowle na nich zlokalizowane mogą być użytkowane w sposób dotychczasowy, do cza</w:t>
      </w:r>
      <w:r>
        <w:rPr>
          <w:color w:val="000000"/>
          <w:u w:color="000000"/>
        </w:rPr>
        <w:t>su realizacji zagospodarowania terenu zgodnie z ustaleniami planu;</w:t>
      </w:r>
    </w:p>
    <w:p w14:paraId="3EE2F61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innego sposobu tymczasowego zagospodarowania aniżeli dotychczasowy.</w:t>
      </w:r>
    </w:p>
    <w:p w14:paraId="2407ED1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Szczegółowe zasady i warunki scalania i podziału nieruchomości:</w:t>
      </w:r>
    </w:p>
    <w:p w14:paraId="5F1FFE5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</w:t>
      </w:r>
      <w:r>
        <w:rPr>
          <w:color w:val="000000"/>
          <w:u w:color="000000"/>
        </w:rPr>
        <w:t>chomości określono w Dziale III.</w:t>
      </w:r>
    </w:p>
    <w:p w14:paraId="696D787E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Ustala się następującą wysokość jednorazowej opłaty określoną w stosunku procentowym do wzrostu wartości nieruchomości - renta planistyczna, która wynosi:</w:t>
      </w:r>
    </w:p>
    <w:p w14:paraId="27B463A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MN;</w:t>
      </w:r>
    </w:p>
    <w:p w14:paraId="4E5FA40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pozostałych terenów wyznaczonych w</w:t>
      </w:r>
      <w:r>
        <w:rPr>
          <w:color w:val="000000"/>
          <w:u w:color="000000"/>
        </w:rPr>
        <w:t> planie nie stwierdza się wzrostu wartości nieruchomości.</w:t>
      </w:r>
    </w:p>
    <w:p w14:paraId="4624A0BF" w14:textId="77777777" w:rsidR="00A77B3E" w:rsidRDefault="00E4598C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lastRenderedPageBreak/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06379110" w14:textId="77777777" w:rsidR="00A77B3E" w:rsidRDefault="00E4598C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1CC4C5D7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1MN</w:t>
      </w:r>
      <w:r>
        <w:rPr>
          <w:color w:val="000000"/>
          <w:u w:color="000000"/>
        </w:rPr>
        <w:t xml:space="preserve"> – zabudowa mieszkaniowa jednorodzinna wolnostojąca.</w:t>
      </w:r>
    </w:p>
    <w:p w14:paraId="43E69755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004863A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dopuszcza się lokalizację wolnostojących budynków gospodarczych i garażowych wyłącznie </w:t>
      </w:r>
      <w:r>
        <w:rPr>
          <w:color w:val="000000"/>
          <w:u w:color="000000"/>
        </w:rPr>
        <w:t>jako towarzyszących zabudowie mieszkaniowej;</w:t>
      </w:r>
    </w:p>
    <w:p w14:paraId="742309D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dopuszcza się sytuowania budynków mieszkalnych w odległości 1,5 m od granicy lub bezpośrednio przy granicy z sąsiednimi działkami budowlanymi;</w:t>
      </w:r>
    </w:p>
    <w:p w14:paraId="7F3CEAE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dopuszcza się sytuowanie budynków </w:t>
      </w:r>
      <w:r>
        <w:rPr>
          <w:color w:val="000000"/>
          <w:u w:color="000000"/>
        </w:rPr>
        <w:t>gospodarczych i garażowych w odległości 1,5 m od granicy lub bezpośrednio przy granicy z sąsiednimi działkami budowlanymi;</w:t>
      </w:r>
    </w:p>
    <w:p w14:paraId="5F0C5C8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budynków gospodarczych i garażowych o konstrukcji blaszanych;</w:t>
      </w:r>
    </w:p>
    <w:p w14:paraId="7846CBA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części budynku niespełniającej warunku loka</w:t>
      </w:r>
      <w:r>
        <w:rPr>
          <w:color w:val="000000"/>
          <w:u w:color="000000"/>
        </w:rPr>
        <w:t>lizacji względem nieprzekraczalnej linii zabudowy dopuszcza się remonty i przebudowę;</w:t>
      </w:r>
    </w:p>
    <w:p w14:paraId="4EFFEEB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wydzielonych działek budowlanych: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4B75673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7204FA5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</w:t>
      </w:r>
      <w:r>
        <w:rPr>
          <w:color w:val="000000"/>
          <w:u w:color="000000"/>
        </w:rPr>
        <w:t xml:space="preserve"> lokalizacja zabudowy zgodnie z nieprzekraczalną linią zabudowy;</w:t>
      </w:r>
    </w:p>
    <w:p w14:paraId="44060F7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0,1 do 0,6;</w:t>
      </w:r>
    </w:p>
    <w:p w14:paraId="378C12E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 powierzchni działki budowlanej – do 40%;</w:t>
      </w:r>
    </w:p>
    <w:p w14:paraId="13BF385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 powierzchni działki budowlanej – 40%;</w:t>
      </w:r>
    </w:p>
    <w:p w14:paraId="29E1091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 nie mniejszej niż:</w:t>
      </w:r>
    </w:p>
    <w:p w14:paraId="3926ACFE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</w:t>
      </w:r>
      <w:r>
        <w:rPr>
          <w:color w:val="000000"/>
          <w:u w:color="000000"/>
        </w:rPr>
        <w:t>aczonych pod zabudowę mieszkaniową jednorodzinną –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 każdego lokalu mieszkalnego,</w:t>
      </w:r>
    </w:p>
    <w:p w14:paraId="1BC76CDC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na parkowanie pojaz</w:t>
      </w:r>
      <w:r>
        <w:rPr>
          <w:color w:val="000000"/>
          <w:u w:color="000000"/>
        </w:rPr>
        <w:t>dów zaopatrzonych w kartę parkingową;</w:t>
      </w:r>
    </w:p>
    <w:p w14:paraId="4CA7EC9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612B5CCD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10 m dla budynków mieszkalnych jednorodzinnych;</w:t>
      </w:r>
    </w:p>
    <w:p w14:paraId="5794146A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4,5 m dla pozostałych budynków i budowli, w tym wiat;</w:t>
      </w:r>
    </w:p>
    <w:p w14:paraId="66E00E9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3C9C4F6F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jednorodzinnych:</w:t>
      </w:r>
    </w:p>
    <w:p w14:paraId="53A01EFA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 – lub w</w:t>
      </w:r>
      <w:r>
        <w:rPr>
          <w:color w:val="000000"/>
          <w:u w:color="000000"/>
        </w:rPr>
        <w:t>ielospadowe o kącie nachylenia połaci dachowych od 25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40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40D14BDD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budynków garażowych, gospodarczych i wiat:</w:t>
      </w:r>
    </w:p>
    <w:p w14:paraId="38583E78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oraz jedno – lub wielospadowe o kącie nachylenia połaci dachowych do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14:paraId="2C614BA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niż</w:t>
      </w:r>
      <w:r>
        <w:rPr>
          <w:color w:val="000000"/>
          <w:u w:color="000000"/>
        </w:rPr>
        <w:t xml:space="preserve"> 3 rodzajów materiałów wykończeniowych (nie dotyczy obróbek blacharskich oraz stolarki);</w:t>
      </w:r>
    </w:p>
    <w:p w14:paraId="2B9EFE49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stosowania jako okładzin elewacyjnych: blach trapezowych, falistych i blachodachówki oraz płytek ceramicznych.</w:t>
      </w:r>
    </w:p>
    <w:p w14:paraId="0D8E031A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</w:t>
      </w:r>
      <w:r>
        <w:rPr>
          <w:color w:val="000000"/>
          <w:u w:color="000000"/>
        </w:rPr>
        <w:t>iału nieruchomości:</w:t>
      </w:r>
    </w:p>
    <w:p w14:paraId="1C19A1F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E681A7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ACBF983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E2FC57F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minimalna </w:t>
      </w:r>
      <w:r>
        <w:rPr>
          <w:color w:val="000000"/>
          <w:u w:color="000000"/>
        </w:rPr>
        <w:t>szerokości frontu działek – 18 m,</w:t>
      </w:r>
    </w:p>
    <w:p w14:paraId="29B867BD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227085E5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51CD599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drogi dojazdowej, oznaczonej symbolem 1KDD.</w:t>
      </w:r>
    </w:p>
    <w:p w14:paraId="4DF1CC11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</w:t>
      </w:r>
      <w:r>
        <w:rPr>
          <w:color w:val="000000"/>
          <w:u w:color="000000"/>
        </w:rPr>
        <w:t>stalone w Dziale IV.</w:t>
      </w:r>
    </w:p>
    <w:p w14:paraId="502E917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2MN</w:t>
      </w:r>
      <w:r>
        <w:rPr>
          <w:color w:val="000000"/>
          <w:u w:color="000000"/>
        </w:rPr>
        <w:t xml:space="preserve"> – zabudowa mieszkaniowa jednorodzinna wolnostojąca.</w:t>
      </w:r>
    </w:p>
    <w:p w14:paraId="258ECA7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71FACB7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wolnostojących budynków gospodar</w:t>
      </w:r>
      <w:r>
        <w:rPr>
          <w:color w:val="000000"/>
          <w:u w:color="000000"/>
        </w:rPr>
        <w:t>czych i garażowych wyłącznie jako towarzyszących zabudowie mieszkaniowej;</w:t>
      </w:r>
    </w:p>
    <w:p w14:paraId="3D5D6F7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 gospodarczych i garażowych o konstrukcji blaszanych;</w:t>
      </w:r>
    </w:p>
    <w:p w14:paraId="44895E2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 dopuszcza się sytuowania budynków i wiat w odległości 1,5 m od granicy lub bezpośrednio przy</w:t>
      </w:r>
      <w:r>
        <w:rPr>
          <w:color w:val="000000"/>
          <w:u w:color="000000"/>
        </w:rPr>
        <w:t xml:space="preserve"> granicy z sąsiednimi działkami budowlanymi;</w:t>
      </w:r>
    </w:p>
    <w:p w14:paraId="64ECD92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minimalną powierzchnię nowo wydzielonych działek budowlanych: 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6D546E3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5B15DA4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nieprzekr</w:t>
      </w:r>
      <w:r>
        <w:rPr>
          <w:color w:val="000000"/>
          <w:u w:color="000000"/>
        </w:rPr>
        <w:t>aczalną linią zabudowy;</w:t>
      </w:r>
    </w:p>
    <w:p w14:paraId="7064820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0,1 do 0,5;</w:t>
      </w:r>
    </w:p>
    <w:p w14:paraId="5ADD406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 powierzchni działki budowlanej – do 40%;</w:t>
      </w:r>
    </w:p>
    <w:p w14:paraId="74FB8A3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</w:t>
      </w:r>
      <w:r>
        <w:rPr>
          <w:color w:val="000000"/>
          <w:u w:color="000000"/>
        </w:rPr>
        <w:t>icznie czynnej w odniesieniu do powierzchni działki budowlanej – 40%;</w:t>
      </w:r>
    </w:p>
    <w:p w14:paraId="70F1B2D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 nie mniejszej niż:</w:t>
      </w:r>
    </w:p>
    <w:p w14:paraId="03680808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dla terenów przeznaczonych pod zabudowę mieszkaniową </w:t>
      </w:r>
      <w:r>
        <w:rPr>
          <w:color w:val="000000"/>
          <w:u w:color="000000"/>
        </w:rPr>
        <w:t>jednorodzinną –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 każdego lokalu mieszkalnego,</w:t>
      </w:r>
    </w:p>
    <w:p w14:paraId="4908C77D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miejsce do parkowania na każde pełne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usługowej, lecz nie mniej niż 1 miejsce do parkowania oraz minimum 1 miejsce przeznaczone na parkowanie pojazdów zaopatrzonych w kartę parkingow</w:t>
      </w:r>
      <w:r>
        <w:rPr>
          <w:color w:val="000000"/>
          <w:u w:color="000000"/>
        </w:rPr>
        <w:t>ą;</w:t>
      </w:r>
    </w:p>
    <w:p w14:paraId="70D9E32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71ECE3E0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10 m dla budynków mieszkalnych jednorodzinnych,</w:t>
      </w:r>
    </w:p>
    <w:p w14:paraId="27EF00F0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4,5 m dla pozostałych budynków i budowli, w tym wiat;</w:t>
      </w:r>
    </w:p>
    <w:p w14:paraId="1703B4B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04383C1B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 mieszkalnych jednorodzinnych:</w:t>
      </w:r>
    </w:p>
    <w:p w14:paraId="7C667BB2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płaskie,</w:t>
      </w:r>
    </w:p>
    <w:p w14:paraId="02A45C18" w14:textId="77777777" w:rsidR="00A77B3E" w:rsidRDefault="00E4598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 xml:space="preserve">dachy dwu – lub </w:t>
      </w:r>
      <w:r>
        <w:rPr>
          <w:color w:val="000000"/>
          <w:u w:color="000000"/>
        </w:rPr>
        <w:t>wielospadowe o kącie nachylenia połaci dachowych od 25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 do 49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,</w:t>
      </w:r>
    </w:p>
    <w:p w14:paraId="766DC514" w14:textId="77777777" w:rsidR="00A77B3E" w:rsidRDefault="00E4598C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garażowych, gospodarczych i wiat:</w:t>
      </w:r>
    </w:p>
    <w:p w14:paraId="6C2E9198" w14:textId="77777777" w:rsidR="00A77B3E" w:rsidRDefault="00E4598C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 oraz jedno – lub wielospadowe o kącie nachylenia połaci dachowych do 20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;</w:t>
      </w:r>
    </w:p>
    <w:p w14:paraId="5194526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</w:t>
      </w:r>
      <w:r>
        <w:rPr>
          <w:color w:val="000000"/>
          <w:u w:color="000000"/>
        </w:rPr>
        <w:t>ż 3 rodzajów materiałów wykończeniowych (nie dotyczy obróbek blacharskich oraz stolarki);</w:t>
      </w:r>
    </w:p>
    <w:p w14:paraId="422A1FB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9) </w:t>
      </w:r>
      <w:r>
        <w:rPr>
          <w:color w:val="000000"/>
          <w:u w:color="000000"/>
        </w:rPr>
        <w:t>zakaz stosowania jako okładzin elewacyjnych blach trapezowych: falistych i blachodachówki oraz płytek ceramicznych.</w:t>
      </w:r>
    </w:p>
    <w:p w14:paraId="650EC72E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</w:t>
      </w:r>
      <w:r>
        <w:rPr>
          <w:color w:val="000000"/>
          <w:u w:color="000000"/>
        </w:rPr>
        <w:t>iału nieruchomości:</w:t>
      </w:r>
    </w:p>
    <w:p w14:paraId="02FC0F8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AED2D8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7F93CD7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F9FBA94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</w:t>
      </w:r>
      <w:r>
        <w:rPr>
          <w:color w:val="000000"/>
          <w:u w:color="000000"/>
        </w:rPr>
        <w:t>ziałek – 18 m,</w:t>
      </w:r>
    </w:p>
    <w:p w14:paraId="3DC59BA1" w14:textId="77777777" w:rsidR="00A77B3E" w:rsidRDefault="00E4598C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60F03D7D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7B73C19E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drogi dojazdowej, oznaczonej symbolem 2KDD.</w:t>
      </w:r>
    </w:p>
    <w:p w14:paraId="22D7C91B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</w:t>
      </w:r>
      <w:r>
        <w:rPr>
          <w:color w:val="000000"/>
          <w:u w:color="000000"/>
        </w:rPr>
        <w:t>Dziale IV.</w:t>
      </w:r>
    </w:p>
    <w:p w14:paraId="4B4ACA47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1ZU </w:t>
      </w:r>
      <w:r>
        <w:rPr>
          <w:color w:val="000000"/>
          <w:u w:color="000000"/>
        </w:rPr>
        <w:t xml:space="preserve">z przeznaczeniem podstawowym – zieleń urządzona. </w:t>
      </w:r>
    </w:p>
    <w:p w14:paraId="0F3EEBD9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Jako przeznaczenie dopuszczalne ustala się możliwość lokalizacji:</w:t>
      </w:r>
    </w:p>
    <w:p w14:paraId="7BEAA67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sieci i urządzeń infrastruktury technicznej </w:t>
      </w:r>
      <w:r>
        <w:rPr>
          <w:color w:val="000000"/>
          <w:u w:color="000000"/>
        </w:rPr>
        <w:t>związane z zagospodarowaniem terenu;</w:t>
      </w:r>
    </w:p>
    <w:p w14:paraId="7400293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ciągów pieszych i rowerowych.</w:t>
      </w:r>
    </w:p>
    <w:p w14:paraId="453B3AD1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0C4C312E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lokalizacji budynków;</w:t>
      </w:r>
    </w:p>
    <w:p w14:paraId="62076F9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minimalny udział powierzchni biologicznie czynnej w odniesieniu do powierzchni działki bud</w:t>
      </w:r>
      <w:r>
        <w:rPr>
          <w:color w:val="000000"/>
          <w:u w:color="000000"/>
        </w:rPr>
        <w:t>owlanej – 70%.</w:t>
      </w:r>
    </w:p>
    <w:p w14:paraId="52514222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Warunki w zakresie infrastruktury technicznej ustalone w Dziale IV.</w:t>
      </w:r>
    </w:p>
    <w:p w14:paraId="1262EE5E" w14:textId="77777777" w:rsidR="00A77B3E" w:rsidRDefault="00E4598C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dróg</w:t>
      </w:r>
    </w:p>
    <w:p w14:paraId="785F41B8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– teren dróg publicznych – droga zbiorcza.</w:t>
      </w:r>
    </w:p>
    <w:p w14:paraId="79692B2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Ustala się </w:t>
      </w:r>
      <w:r>
        <w:rPr>
          <w:color w:val="000000"/>
          <w:u w:color="000000"/>
        </w:rPr>
        <w:t>następujące warunki zagospodarowania terenu:</w:t>
      </w:r>
    </w:p>
    <w:p w14:paraId="52AA369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66FCFF3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piesze, sieć i urządzenia infrastruktury</w:t>
      </w:r>
      <w:r>
        <w:rPr>
          <w:color w:val="000000"/>
          <w:u w:color="000000"/>
        </w:rPr>
        <w:t xml:space="preserve"> technicznej, przystanki oraz wiaty przystankowe;</w:t>
      </w:r>
    </w:p>
    <w:p w14:paraId="12D7E24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realizacji pasa zieleni izolacyjnej o szerokości min. 2,0 m, zgodnie z rysunkiem planu, dopuszcza się możliwość zmniejszenia jego szerokości lub likwidacji w przypadku lokalizacji miejsc służąc</w:t>
      </w:r>
      <w:r>
        <w:rPr>
          <w:color w:val="000000"/>
          <w:u w:color="000000"/>
        </w:rPr>
        <w:t>ych obsłudze komunikacji publicznej;</w:t>
      </w:r>
    </w:p>
    <w:p w14:paraId="7F11B7C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realizacji ścieżki rowerowej;</w:t>
      </w:r>
    </w:p>
    <w:p w14:paraId="65C5422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szerokość pasa drogowego w liniach rozgraniczających od 32,0 do 67,0 m, zgodnie z rysunkiem planu.</w:t>
      </w:r>
    </w:p>
    <w:p w14:paraId="5B870C8F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2KDZ </w:t>
      </w:r>
      <w:r>
        <w:rPr>
          <w:color w:val="000000"/>
          <w:u w:color="000000"/>
        </w:rPr>
        <w:t>– teren dróg publicznych – droga zbiorcza.</w:t>
      </w:r>
    </w:p>
    <w:p w14:paraId="66F9AD9A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385DD1E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</w:t>
      </w:r>
      <w:r>
        <w:rPr>
          <w:color w:val="000000"/>
          <w:u w:color="000000"/>
        </w:rPr>
        <w:t>ugą ruchu drogowego;</w:t>
      </w:r>
    </w:p>
    <w:p w14:paraId="1180782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technicznej, przystanki oraz wiaty przystankowe;</w:t>
      </w:r>
    </w:p>
    <w:p w14:paraId="088E491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15,0 do 22,0 m, zgo</w:t>
      </w:r>
      <w:r>
        <w:rPr>
          <w:color w:val="000000"/>
          <w:u w:color="000000"/>
        </w:rPr>
        <w:t>dnie z rysunkiem planu.</w:t>
      </w:r>
    </w:p>
    <w:p w14:paraId="559781F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lastRenderedPageBreak/>
        <w:t>§ 11.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3KDZ</w:t>
      </w:r>
      <w:r>
        <w:rPr>
          <w:color w:val="000000"/>
          <w:u w:color="000000"/>
        </w:rPr>
        <w:t xml:space="preserve"> – teren dróg publicznych – droga zbiorcza.</w:t>
      </w:r>
    </w:p>
    <w:p w14:paraId="30612BC2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1AD87B3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</w:t>
      </w:r>
      <w:r>
        <w:rPr>
          <w:color w:val="000000"/>
          <w:u w:color="000000"/>
        </w:rPr>
        <w:t xml:space="preserve"> i urządzeniami związanymi z obsługą ruchu drogowego;</w:t>
      </w:r>
    </w:p>
    <w:p w14:paraId="7DFB6FE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technicznej, przystanki oraz wiaty przystankowe;</w:t>
      </w:r>
    </w:p>
    <w:p w14:paraId="3200CDF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</w:t>
      </w:r>
      <w:r>
        <w:rPr>
          <w:color w:val="000000"/>
          <w:u w:color="000000"/>
        </w:rPr>
        <w:t>iczających od 25,0 do 28,0 m, zgodnie z rysunkiem planu.</w:t>
      </w:r>
    </w:p>
    <w:p w14:paraId="63EAE0B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– teren dróg publicznych – droga dojazdowa.</w:t>
      </w:r>
    </w:p>
    <w:p w14:paraId="44BC823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0EDD0DE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516AB25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technicznej, przystanki oraz wiaty p</w:t>
      </w:r>
      <w:r>
        <w:rPr>
          <w:color w:val="000000"/>
          <w:u w:color="000000"/>
        </w:rPr>
        <w:t>rzystankowe;</w:t>
      </w:r>
    </w:p>
    <w:p w14:paraId="05490E5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13,0 do 27,0 m, zgodnie z rysunkiem planu.</w:t>
      </w:r>
    </w:p>
    <w:p w14:paraId="5EB741A5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2KDD</w:t>
      </w:r>
      <w:r>
        <w:rPr>
          <w:color w:val="000000"/>
          <w:u w:color="000000"/>
        </w:rPr>
        <w:t xml:space="preserve"> – teren dróg publicznych – droga dojazdowa.</w:t>
      </w:r>
    </w:p>
    <w:p w14:paraId="375E395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</w:t>
      </w:r>
      <w:r>
        <w:rPr>
          <w:color w:val="000000"/>
          <w:u w:color="000000"/>
        </w:rPr>
        <w:t>runki zagospodarowania terenu:</w:t>
      </w:r>
    </w:p>
    <w:p w14:paraId="34C9EB9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415FA971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przeznaczenie uzupełniające: zieleń urządzona, ciągi piesze i rowerowe, sieć i urządzenia </w:t>
      </w:r>
      <w:r>
        <w:rPr>
          <w:color w:val="000000"/>
          <w:u w:color="000000"/>
        </w:rPr>
        <w:t>infrastruktury technicznej;</w:t>
      </w:r>
    </w:p>
    <w:p w14:paraId="0DF426A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12,0 do 16,0 m.</w:t>
      </w:r>
    </w:p>
    <w:p w14:paraId="6A7A820B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1KP </w:t>
      </w:r>
      <w:r>
        <w:rPr>
          <w:color w:val="000000"/>
          <w:u w:color="000000"/>
        </w:rPr>
        <w:t xml:space="preserve">– teren komunikacji samochodowej – parkingi.  </w:t>
      </w:r>
    </w:p>
    <w:p w14:paraId="78DBC97E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</w:t>
      </w:r>
      <w:r>
        <w:rPr>
          <w:color w:val="000000"/>
          <w:u w:color="000000"/>
        </w:rPr>
        <w:t>spodarowania terenu:</w:t>
      </w:r>
    </w:p>
    <w:p w14:paraId="22CDDD6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parkingi;</w:t>
      </w:r>
    </w:p>
    <w:p w14:paraId="4EB2E71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zieleń urządzona, ciągi piesze i rowerowe, sieć i urządzenia infrastruktury technicznej.</w:t>
      </w:r>
    </w:p>
    <w:p w14:paraId="40596707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40D25E6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zakazuje się loka</w:t>
      </w:r>
      <w:r>
        <w:rPr>
          <w:color w:val="000000"/>
          <w:u w:color="000000"/>
        </w:rPr>
        <w:t>lizacji budynków;</w:t>
      </w:r>
    </w:p>
    <w:p w14:paraId="617D17C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minimalny udział powierzchni biologicznie czynnej w odniesieniu do powierzchni działki budowlanej – 10%.</w:t>
      </w:r>
    </w:p>
    <w:p w14:paraId="1705C5CC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5381E5C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dojazdowej oznaczonej symbolem 1KDD.</w:t>
      </w:r>
    </w:p>
    <w:p w14:paraId="39598FE9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</w:t>
      </w:r>
      <w:r>
        <w:rPr>
          <w:color w:val="000000"/>
          <w:u w:color="000000"/>
        </w:rPr>
        <w:t>ruktury technicznej ustalone w Dziale IV.</w:t>
      </w:r>
    </w:p>
    <w:p w14:paraId="3BF2BE74" w14:textId="77777777" w:rsidR="00A77B3E" w:rsidRDefault="00E4598C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6A8135B0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t>1. </w:t>
      </w:r>
      <w:r>
        <w:rPr>
          <w:color w:val="000000"/>
          <w:u w:color="000000"/>
        </w:rPr>
        <w:t>Ustala się następujące zasady w zakresie zaopatrzenia w wodę:</w:t>
      </w:r>
    </w:p>
    <w:p w14:paraId="79F5A110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zaopatrzenie w wodę do celów </w:t>
      </w:r>
      <w:proofErr w:type="spellStart"/>
      <w:r>
        <w:rPr>
          <w:color w:val="000000"/>
          <w:u w:color="000000"/>
        </w:rPr>
        <w:t>socjalno</w:t>
      </w:r>
      <w:proofErr w:type="spellEnd"/>
      <w:r>
        <w:rPr>
          <w:color w:val="000000"/>
          <w:u w:color="000000"/>
        </w:rPr>
        <w:t xml:space="preserve"> – bytowych, gospodarczych i przeci</w:t>
      </w:r>
      <w:r>
        <w:rPr>
          <w:color w:val="000000"/>
          <w:u w:color="000000"/>
        </w:rPr>
        <w:t>wpożarowych z istniejącej i projektowanej miejskiej sieci wodociągowej.</w:t>
      </w:r>
    </w:p>
    <w:p w14:paraId="5F30D3E1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 zakresie odprowadzania ścieków:</w:t>
      </w:r>
    </w:p>
    <w:p w14:paraId="6F3D3C5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odprowadzenie ścieków poprzez istniejące i projektowane sieci do zbiorowego systemu odprowadzania ścieków.</w:t>
      </w:r>
    </w:p>
    <w:p w14:paraId="1B4010F9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</w:t>
      </w:r>
      <w:r>
        <w:rPr>
          <w:color w:val="000000"/>
          <w:u w:color="000000"/>
        </w:rPr>
        <w:t>la się następujące zasady w zakresie odprowadzania wód opadowych i roztopowych:</w:t>
      </w:r>
    </w:p>
    <w:p w14:paraId="03D7EB9D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zagospodarowanie wód opadowych w granicach nieruchomości przez naturalną i wymuszoną retencję gruntu;</w:t>
      </w:r>
    </w:p>
    <w:p w14:paraId="0D76A0A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odprowadzanie ścieków opadowych i </w:t>
      </w:r>
      <w:r>
        <w:rPr>
          <w:color w:val="000000"/>
          <w:u w:color="000000"/>
        </w:rPr>
        <w:t>roztopowych poprzez istniejący i projektowany system sieci kanalizacji deszczowej z terenów dróg publicznych i terenów komunikacji samochodowej – parkingi;</w:t>
      </w:r>
    </w:p>
    <w:p w14:paraId="1AFD1BFA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odprowadzania ścieków opadowych i roztopowych poprzez istniejący i projektowany system siec</w:t>
      </w:r>
      <w:r>
        <w:rPr>
          <w:color w:val="000000"/>
          <w:u w:color="000000"/>
        </w:rPr>
        <w:t>i kanalizacji deszczowej z terenów zabudowy mieszkaniowej jednorodzinnej i terenów zieleni urządzonej.</w:t>
      </w:r>
    </w:p>
    <w:p w14:paraId="7B271757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 zakresie zaopatrzenia w energię elektryczną:</w:t>
      </w:r>
    </w:p>
    <w:p w14:paraId="25B7566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stacji transformatorowy</w:t>
      </w:r>
      <w:r>
        <w:rPr>
          <w:color w:val="000000"/>
          <w:u w:color="000000"/>
        </w:rPr>
        <w:t>ch;</w:t>
      </w:r>
    </w:p>
    <w:p w14:paraId="057B43C8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oraz likwidację istniejących linii energetycznych,</w:t>
      </w:r>
    </w:p>
    <w:p w14:paraId="64E3FB43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gruncie;</w:t>
      </w:r>
    </w:p>
    <w:p w14:paraId="192B2E9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istniejącej napowietrznej linii</w:t>
      </w:r>
      <w:r>
        <w:rPr>
          <w:color w:val="000000"/>
          <w:u w:color="000000"/>
        </w:rPr>
        <w:t xml:space="preserve"> średniego napięcia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ustala się strefę ograniczonego użytkowania o szerokości od 0 do 15,0 m w granicach opracowania (tj. do 7,5 m na każdą stronę od osi linii), zgodnie z rysunkiem planu, w której obowiązuje:</w:t>
      </w:r>
    </w:p>
    <w:p w14:paraId="28A7AE0D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lokalizacji budynków na pobyt lud</w:t>
      </w:r>
      <w:r>
        <w:rPr>
          <w:color w:val="000000"/>
          <w:u w:color="000000"/>
        </w:rPr>
        <w:t>zi,</w:t>
      </w:r>
    </w:p>
    <w:p w14:paraId="43CCF5F9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nasadzenia drzew i krzewów o wysokości do 4,5 m;</w:t>
      </w:r>
    </w:p>
    <w:p w14:paraId="290535B6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dla istniejącej napowietrznej linii wysokiego napięcia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ustala się strefę ograniczonego użytkowania o szerokości od 0 do 28,0 m w granicach opracowania (tj. do 18,0 m na każdą st</w:t>
      </w:r>
      <w:r>
        <w:rPr>
          <w:color w:val="000000"/>
          <w:u w:color="000000"/>
        </w:rPr>
        <w:t>ronę od osi linii), zgodnie z rysunkiem planu, w której obowiązuje:</w:t>
      </w:r>
    </w:p>
    <w:p w14:paraId="47EA624E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zakaz lokalizacji budynków na pobyt ludzi,</w:t>
      </w:r>
    </w:p>
    <w:p w14:paraId="05CA265A" w14:textId="77777777" w:rsidR="00A77B3E" w:rsidRDefault="00E4598C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dopuszcza się nasadzenia drzew i krzewów o wysokości do 4,5 m;</w:t>
      </w:r>
    </w:p>
    <w:p w14:paraId="372E0045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strefa ograniczonego użytkowania, o której mowa powyżej w pkt. 4) i 5), prz</w:t>
      </w:r>
      <w:r>
        <w:rPr>
          <w:color w:val="000000"/>
          <w:u w:color="000000"/>
        </w:rPr>
        <w:t>estaje obowiązywać w przypadku likwidacji lub skablowania napowietrznej linii elektroenergetycznej.</w:t>
      </w:r>
    </w:p>
    <w:p w14:paraId="7ACD2C08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 zakresie zaopatrzenia w gaz:</w:t>
      </w:r>
    </w:p>
    <w:p w14:paraId="2C1F2E5C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gazowej.</w:t>
      </w:r>
    </w:p>
    <w:p w14:paraId="43425836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</w:t>
      </w:r>
      <w:r>
        <w:rPr>
          <w:color w:val="000000"/>
          <w:u w:color="000000"/>
        </w:rPr>
        <w:t>ące zasady w zakresie zaopatrzenia w ciepło:</w:t>
      </w:r>
    </w:p>
    <w:p w14:paraId="633EF2D2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wykorzystywania do celów grzewczych źródeł ciepła zasilanych paliwami stałymi;</w:t>
      </w:r>
    </w:p>
    <w:p w14:paraId="00F64F04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cieplnej, w tym źródeł energii odnawialnej.</w:t>
      </w:r>
    </w:p>
    <w:p w14:paraId="0441EF1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</w:t>
      </w:r>
      <w:r>
        <w:rPr>
          <w:color w:val="000000"/>
          <w:u w:color="000000"/>
        </w:rPr>
        <w:t>ę następujące zasady wyposażenia w łącza telefoniczne i teleinformatyczne:</w:t>
      </w:r>
    </w:p>
    <w:p w14:paraId="707D5C3B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14482ED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</w:t>
      </w:r>
      <w:r>
        <w:rPr>
          <w:color w:val="000000"/>
          <w:u w:color="000000"/>
        </w:rPr>
        <w:t>ikacji na warunkach określonych w przepisach odrębnych i szczególnych;</w:t>
      </w:r>
    </w:p>
    <w:p w14:paraId="3039BBCF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31E6B58A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obsługi w zakresie gospodarki odpadami stałymi:</w:t>
      </w:r>
    </w:p>
    <w:p w14:paraId="7ACF3197" w14:textId="77777777" w:rsidR="00A77B3E" w:rsidRDefault="00E4598C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w oparciu o miejski syste</w:t>
      </w:r>
      <w:r>
        <w:rPr>
          <w:color w:val="000000"/>
          <w:u w:color="000000"/>
        </w:rPr>
        <w:t>m oczyszczania.</w:t>
      </w:r>
    </w:p>
    <w:p w14:paraId="79AE727A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Dopuszcza się wydzielenie działek dla lokalizacji obiektów, sieci i urządzeń infrastruktury technicznej, przy czym nowo wydzielone działki muszą posiadać dostęp do drogi publicznej.</w:t>
      </w:r>
    </w:p>
    <w:p w14:paraId="346A9FA4" w14:textId="77777777" w:rsidR="00A77B3E" w:rsidRDefault="00E4598C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lastRenderedPageBreak/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797B310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 xml:space="preserve">Uchwała podlega </w:t>
      </w:r>
      <w:r>
        <w:rPr>
          <w:color w:val="000000"/>
          <w:u w:color="000000"/>
        </w:rPr>
        <w:t>ogłoszeniu w Dzienniku Urzędowym Województwa Łódzkiego i na stronie internetowej Miasta Piotrkowa Trybunalskiego.</w:t>
      </w:r>
    </w:p>
    <w:p w14:paraId="06144983" w14:textId="77777777" w:rsidR="00A77B3E" w:rsidRDefault="00E4598C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17. </w:t>
      </w:r>
      <w:r>
        <w:rPr>
          <w:color w:val="000000"/>
          <w:u w:color="000000"/>
        </w:rPr>
        <w:t xml:space="preserve">Uchwała wchodzi w życie po </w:t>
      </w:r>
      <w:r>
        <w:rPr>
          <w:color w:val="000000"/>
          <w:u w:color="000000"/>
        </w:rPr>
        <w:t>upływie 14 dni od dnia ogłoszenia jej w Dzienniku Urzędowym Województwa Łódzkiego.</w:t>
      </w:r>
    </w:p>
    <w:p w14:paraId="5354DF29" w14:textId="77777777" w:rsidR="00A77B3E" w:rsidRDefault="00E4598C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7A02070D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23961E6" wp14:editId="6E6D5AFE">
            <wp:extent cx="6264910" cy="885701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71CA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448A315" wp14:editId="21A54143">
            <wp:extent cx="6264910" cy="8857017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13CC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BC558B7" wp14:editId="3CE95938">
            <wp:extent cx="6264910" cy="8857017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4289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F109308" wp14:editId="19E58402">
            <wp:extent cx="6264910" cy="8857017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8247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505FBFF" wp14:editId="21A1331D">
            <wp:extent cx="6264910" cy="8857017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7EB0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032B255" wp14:editId="73F035B3">
            <wp:extent cx="6264910" cy="8857017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F5D0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1491786" wp14:editId="4C18677D">
            <wp:extent cx="6264910" cy="8857017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F829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F471142" wp14:editId="446DEB91">
            <wp:extent cx="6264910" cy="8857017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47A9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7F2E44E" wp14:editId="4C2D5AE1">
            <wp:extent cx="6264910" cy="8857017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0784" w14:textId="77777777" w:rsidR="00A77B3E" w:rsidRDefault="00A77B3E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ABC4D28" w14:textId="77777777" w:rsidR="00A77B3E" w:rsidRDefault="00E4598C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24E901A0" w14:textId="77777777" w:rsidR="00A77B3E" w:rsidRDefault="00E4598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</w:t>
      </w:r>
      <w:r>
        <w:rPr>
          <w:b/>
          <w:color w:val="000000"/>
          <w:u w:color="000000"/>
        </w:rPr>
        <w:t xml:space="preserve"> UWAG ZGŁOSZONYCH DO PROJEKTU PLANU MIEJSCOWEGO</w:t>
      </w:r>
    </w:p>
    <w:p w14:paraId="19F027FA" w14:textId="77777777" w:rsidR="00A77B3E" w:rsidRDefault="00E4598C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26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marca 2003 r. o planowaniu i zagospodarowaniu przestrzennym (tj. Dz. U. z</w:t>
      </w:r>
      <w:r>
        <w:rPr>
          <w:color w:val="000000"/>
          <w:u w:color="000000"/>
        </w:rPr>
        <w:t> 2020 r. poz. 293, 471, 782, 1086, 1378, z 2021 r. poz. 11) Rada Miasta Piotrkowa Trybunalskiego stwierdza, że w ustawowym terminie po wyłożeniu do publicznego wglądu projektu miejscowego planu zagospodarowania przestrzennego w rejonie ulic: Łódzkiej, Brze</w:t>
      </w:r>
      <w:r>
        <w:rPr>
          <w:color w:val="000000"/>
          <w:u w:color="000000"/>
        </w:rPr>
        <w:t xml:space="preserve">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Piotrkowie Trybunalskim, nie wniesiono uwag do projektu planu miejscowego.</w:t>
      </w:r>
    </w:p>
    <w:p w14:paraId="2D3A54EC" w14:textId="77777777" w:rsidR="00A77B3E" w:rsidRDefault="00E4598C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</w:t>
      </w:r>
      <w:r>
        <w:rPr>
          <w:color w:val="000000"/>
          <w:u w:color="000000"/>
        </w:rPr>
        <w:t>.................2021 r.</w:t>
      </w:r>
    </w:p>
    <w:p w14:paraId="31D8B6EE" w14:textId="77777777" w:rsidR="00A77B3E" w:rsidRDefault="00E4598C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</w:t>
      </w:r>
      <w:r>
        <w:rPr>
          <w:b/>
          <w:color w:val="000000"/>
          <w:u w:color="000000"/>
        </w:rPr>
        <w:t>ICZNYCH</w:t>
      </w:r>
    </w:p>
    <w:p w14:paraId="61EE9017" w14:textId="77777777" w:rsidR="00A77B3E" w:rsidRDefault="00E4598C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7 ust.1 ustawy z dnia 8 marca 1990 r. o samorządzie gminnym (tj. Dz. U. z 2020 r. poz. 713, 1378) w związku z uchwaleniem miejscowego planu zagospodarowania przestrzennego w rejonie ulic: Łódzkiej, 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</w:t>
      </w:r>
      <w:r>
        <w:rPr>
          <w:color w:val="000000"/>
          <w:u w:color="000000"/>
        </w:rPr>
        <w:t>jektowanego odcinka Obwodnicy Miejskiej klasy „Z” w Piotrkowie Trybunalskim zostaną zagospodarowane kolejne tereny miasta, a dla terenów już zainwestowanych wprowadzone zostaną zasady zagospodarowania przy uwzględnieniu wymagań ładu przestrzennego w tym ur</w:t>
      </w:r>
      <w:r>
        <w:rPr>
          <w:color w:val="000000"/>
          <w:u w:color="000000"/>
        </w:rPr>
        <w:t>banistyki i architektury.</w:t>
      </w:r>
    </w:p>
    <w:p w14:paraId="181AB513" w14:textId="77777777" w:rsidR="00A77B3E" w:rsidRDefault="00E4598C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 xml:space="preserve">Zgodnie z opracowaną prognozą skutków finansowych dla projektu miejscowego planu zagospodarowania przestrzennego w rejonie ulic: Łódzkiej, </w:t>
      </w:r>
      <w:r>
        <w:rPr>
          <w:color w:val="000000"/>
          <w:u w:color="000000"/>
        </w:rPr>
        <w:t xml:space="preserve">Brzeźnickiej, </w:t>
      </w:r>
      <w:proofErr w:type="spellStart"/>
      <w:r>
        <w:rPr>
          <w:color w:val="000000"/>
          <w:u w:color="000000"/>
        </w:rPr>
        <w:t>Porazińskiej</w:t>
      </w:r>
      <w:proofErr w:type="spellEnd"/>
      <w:r>
        <w:rPr>
          <w:color w:val="000000"/>
          <w:u w:color="000000"/>
        </w:rPr>
        <w:t xml:space="preserve"> oraz projektowanego odcinka Obwodnicy Miejskiej klasy „Z” w Piotrkowie Trybunalskim, ustalenia projektowanego planu generują wydatki związane z jego uchwaleniem.</w:t>
      </w:r>
    </w:p>
    <w:p w14:paraId="53A150E6" w14:textId="0D6EE8EA" w:rsidR="00A77B3E" w:rsidRDefault="00E4598C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</w:t>
      </w:r>
      <w:r>
        <w:rPr>
          <w:color w:val="000000"/>
          <w:u w:color="000000"/>
        </w:rPr>
        <w:t>....................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.................... 2021 r.</w:t>
      </w:r>
      <w:r>
        <w:rPr>
          <w:color w:val="000000"/>
          <w:u w:color="000000"/>
        </w:rPr>
        <w:br/>
      </w:r>
      <w:hyperlink r:id="rId28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6EA96DD4" w14:textId="77777777" w:rsidR="00A77B3E" w:rsidRDefault="00E4598C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 xml:space="preserve">Dane </w:t>
      </w:r>
      <w:r>
        <w:rPr>
          <w:b/>
          <w:color w:val="000000"/>
          <w:u w:color="000000"/>
        </w:rPr>
        <w:t>przestrzenne</w:t>
      </w:r>
      <w:r>
        <w:rPr>
          <w:b/>
          <w:color w:val="000000"/>
          <w:u w:color="000000"/>
        </w:rPr>
        <w:br/>
        <w:t xml:space="preserve">Zbiór danych przestrzennych w postaci cyfrowej do miejscowego planu zagospodarowania przestrzennego w rejonie ulic: Łódzkiej, Brzeźnickiej, </w:t>
      </w:r>
      <w:proofErr w:type="spellStart"/>
      <w:r>
        <w:rPr>
          <w:b/>
          <w:color w:val="000000"/>
          <w:u w:color="000000"/>
        </w:rPr>
        <w:t>Porazińskiej</w:t>
      </w:r>
      <w:proofErr w:type="spellEnd"/>
      <w:r>
        <w:rPr>
          <w:b/>
          <w:color w:val="000000"/>
          <w:u w:color="000000"/>
        </w:rPr>
        <w:t xml:space="preserve"> oraz projektowanego odcinka Obwodnicy Miejskiej klasy „Z” w Piotrkowie Trybunalskim sporzą</w:t>
      </w:r>
      <w:r>
        <w:rPr>
          <w:b/>
          <w:color w:val="000000"/>
          <w:u w:color="000000"/>
        </w:rPr>
        <w:t>dzony na podstawie art. 67a ust.3 i 5, ustawy z dnia 27 marca 2003r. o planowaniu i zagospodarowaniu przestrzennym (</w:t>
      </w:r>
      <w:proofErr w:type="spellStart"/>
      <w:r>
        <w:rPr>
          <w:b/>
          <w:color w:val="000000"/>
          <w:u w:color="000000"/>
        </w:rPr>
        <w:t>t.j</w:t>
      </w:r>
      <w:proofErr w:type="spellEnd"/>
      <w:r>
        <w:rPr>
          <w:b/>
          <w:color w:val="000000"/>
          <w:u w:color="000000"/>
        </w:rPr>
        <w:t>. Dz.U. z 2020 r. poz. 293 ze zm.).</w:t>
      </w:r>
    </w:p>
    <w:p w14:paraId="74E75BE4" w14:textId="77777777" w:rsidR="0022071F" w:rsidRDefault="0022071F">
      <w:pPr>
        <w:rPr>
          <w:szCs w:val="20"/>
        </w:rPr>
      </w:pPr>
    </w:p>
    <w:p w14:paraId="6ABD4006" w14:textId="77777777" w:rsidR="0022071F" w:rsidRDefault="00E4598C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794E0C4E" w14:textId="77777777" w:rsidR="0022071F" w:rsidRDefault="00E4598C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Uzasadnienie do projektu Uchwały Rady Miasta Piotrkowa Trybunalskiego w sprawie miejsco</w:t>
      </w:r>
      <w:r>
        <w:rPr>
          <w:b/>
          <w:szCs w:val="20"/>
        </w:rPr>
        <w:t xml:space="preserve">wego planu zagospodarowania przestrzennego w rejonie ulic: Łódzkiej, Brzeźnickiej, </w:t>
      </w:r>
      <w:proofErr w:type="spellStart"/>
      <w:r>
        <w:rPr>
          <w:b/>
          <w:szCs w:val="20"/>
        </w:rPr>
        <w:t>Porazińskiej</w:t>
      </w:r>
      <w:proofErr w:type="spellEnd"/>
      <w:r>
        <w:rPr>
          <w:b/>
          <w:szCs w:val="20"/>
        </w:rPr>
        <w:t xml:space="preserve"> oraz projektowanego odcinka Obwodnicy Miejskiej klasy „Z” w Piotrkowie Trybunalskim </w:t>
      </w:r>
    </w:p>
    <w:p w14:paraId="423AFC47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Projekt miejscowego planu zagospodarowania przestrzennego </w:t>
      </w:r>
      <w:r>
        <w:rPr>
          <w:color w:val="000000"/>
          <w:szCs w:val="20"/>
          <w:u w:color="000000"/>
        </w:rPr>
        <w:t xml:space="preserve">w rejonie ulic: Łódzkiej, Brzeźnickiej, </w:t>
      </w:r>
      <w:proofErr w:type="spellStart"/>
      <w:r>
        <w:rPr>
          <w:color w:val="000000"/>
          <w:szCs w:val="20"/>
          <w:u w:color="000000"/>
        </w:rPr>
        <w:t>Porazińskiej</w:t>
      </w:r>
      <w:proofErr w:type="spellEnd"/>
      <w:r>
        <w:rPr>
          <w:color w:val="000000"/>
          <w:szCs w:val="20"/>
          <w:u w:color="000000"/>
        </w:rPr>
        <w:t xml:space="preserve"> oraz projektowanego odcinka Obwodnicy Miejskiej klasy „Z” w Piotrkowie Trybunalskim, opracowany został na podstawie Uchwały Nr XI/171/19 Rady Miasta Piotrkowa Trybunalskiego z dnia 25 września 2019 r. w </w:t>
      </w:r>
      <w:r>
        <w:rPr>
          <w:color w:val="000000"/>
          <w:szCs w:val="20"/>
          <w:u w:color="000000"/>
        </w:rPr>
        <w:t xml:space="preserve">sprawie przystąpienia do sporządzenia miejscowego planu zagospodarowania przestrzennego w rejonie ulic Łódzkiej, Brzeźnickiej, </w:t>
      </w:r>
      <w:proofErr w:type="spellStart"/>
      <w:r>
        <w:rPr>
          <w:color w:val="000000"/>
          <w:szCs w:val="20"/>
          <w:u w:color="000000"/>
        </w:rPr>
        <w:t>Porazińskiej</w:t>
      </w:r>
      <w:proofErr w:type="spellEnd"/>
      <w:r>
        <w:rPr>
          <w:color w:val="000000"/>
          <w:szCs w:val="20"/>
          <w:u w:color="000000"/>
        </w:rPr>
        <w:t xml:space="preserve"> oraz projektowanego odcinka Obwodnicy Miejskiej klasy „Z” w Piotrkowie Trybunalskim.</w:t>
      </w:r>
    </w:p>
    <w:p w14:paraId="6BED1804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Plan obejmie obszar o powierzch</w:t>
      </w:r>
      <w:r>
        <w:rPr>
          <w:color w:val="000000"/>
          <w:szCs w:val="20"/>
          <w:u w:color="000000"/>
        </w:rPr>
        <w:t>ni ok. 4,3 ha.</w:t>
      </w:r>
    </w:p>
    <w:p w14:paraId="01BF44B2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części obszaru objętego analizą obowiązuje miejscowy plan zagospodarowania przestrzennego – Uchwała Nr XVI/239/04 Rady Miasta w Piotrkowie Trybunalskim z dnia 28 stycznia 2004 r. (Dz. Urz. Woj. Łódzkiego z dnia 8 marca 2004 r., nr 48, poz</w:t>
      </w:r>
      <w:r>
        <w:rPr>
          <w:color w:val="000000"/>
          <w:szCs w:val="20"/>
          <w:u w:color="000000"/>
        </w:rPr>
        <w:t>. 457) ze zmianami (Dz. Urz. Woj. Łódzkiego z dnia 14 grudnia 2012 r. poz. 4521 i Dz. Urz. Woj. Łódzkiego z dnia 18 kwietnia 2013 r. poz. 2187), który przeznacza ten teren pod zabudowę mieszkaniową jednorodzinną oraz ulicę dojazdową.</w:t>
      </w:r>
    </w:p>
    <w:p w14:paraId="21BB223A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Studium Uwarunkowań i </w:t>
      </w:r>
      <w:r>
        <w:rPr>
          <w:color w:val="000000"/>
          <w:szCs w:val="20"/>
          <w:u w:color="000000"/>
        </w:rPr>
        <w:t>Kierunków Zagospodarowania Przestrzennego Miasta Piotrkowa Trybunalskiego, przyjęte Uchwałą Nr XLIX/837/06 Rady Miasta Piotrkowa Trybunalskiego z dnia 29 marca 2006 roku z późniejszymi zmianami (Uchwała Nr XIV/297/11 Rady Miasta Piotrkowa Trybunalskiego z </w:t>
      </w:r>
      <w:r>
        <w:rPr>
          <w:color w:val="000000"/>
          <w:szCs w:val="20"/>
          <w:u w:color="000000"/>
        </w:rPr>
        <w:t>dnia 30.11.2011 r., Nr XXVII/359/16 z dnia 26.10.2016 r., Nr XLVII/566/17 z dnia 25.10.2017 r.) na wskazanym obszarze ustala funkcje MN, KZ zgodnie z którymi przedmiotowy obszar przeznacza się pod projektowaną oraz istniejącą ulicę zbiorczą oraz zabudowę m</w:t>
      </w:r>
      <w:r>
        <w:rPr>
          <w:color w:val="000000"/>
          <w:szCs w:val="20"/>
          <w:u w:color="000000"/>
        </w:rPr>
        <w:t>ieszkaniową jednorodzinną.</w:t>
      </w:r>
    </w:p>
    <w:p w14:paraId="231CE271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celem opracowania dokumentu planistycznego stanowiącego akt prawa miejscowego regulacja projektowanego zachodniego fragmentu Obwodnicy Miejskiej do ul. Łódzkiej. Zapisy planu umożliwią ochronę niezabudowanych terenów prze</w:t>
      </w:r>
      <w:r>
        <w:rPr>
          <w:color w:val="000000"/>
          <w:szCs w:val="20"/>
          <w:u w:color="000000"/>
        </w:rPr>
        <w:t>znaczonych pod projektowaną Obwodnicę Miejską przed niepożądaną zabudową co pozwoli na realizację kolejnego etapu obwodnicy. W obowiązującym Studium w programie rozbudowy układu uliczno-drogowego uznano za najpilniejsze m.in. kontynuację budowy zachodniego</w:t>
      </w:r>
      <w:r>
        <w:rPr>
          <w:color w:val="000000"/>
          <w:szCs w:val="20"/>
          <w:u w:color="000000"/>
        </w:rPr>
        <w:t xml:space="preserve"> fragmentu Obwodnicy Miejskiej do ul. Łódzkiej. Ponadto zapisy planu umożliwią ochronę niezabudowanych terenów zieleni przed niepożądanym naporem inwestycyjnym oraz utrwalą w formie aktu prawa miejscowego przeznaczenie terenu skweru przy ul. Sulejowskiej j</w:t>
      </w:r>
      <w:r>
        <w:rPr>
          <w:color w:val="000000"/>
          <w:szCs w:val="20"/>
          <w:u w:color="000000"/>
        </w:rPr>
        <w:t>ako przestrzeń publiczną o wysokich walorach estetycznych, przyrodniczych i funkcjonalnych dla potrzeb rekreacji i wypoczynku mieszkańców.</w:t>
      </w:r>
    </w:p>
    <w:p w14:paraId="2627CB97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Opracowanie planu pozwoli na kontynuację ustalonych wcześniej funkcji, uszczegółowienie przeznaczenia terenów </w:t>
      </w:r>
      <w:r>
        <w:rPr>
          <w:color w:val="000000"/>
          <w:szCs w:val="20"/>
          <w:u w:color="000000"/>
        </w:rPr>
        <w:t>oraz powiązanie tego obszaru z przyległymi terenami. Projekt planu sporządzony został według procedury planistycznej określonej w art. 17 ustawy z dnia 27 marca 2003 r. o planowaniu i zagospodarowaniu przestrzennym (tj. Dz. U. z 2020 r. poz. 293 ze zm.) or</w:t>
      </w:r>
      <w:r>
        <w:rPr>
          <w:color w:val="000000"/>
          <w:szCs w:val="20"/>
          <w:u w:color="000000"/>
        </w:rPr>
        <w:t>az z uwzględnieniem stosowanych standardów obowiązujących przy zapisywaniu ustaleń projektu planu, wprowadzonych Rozporządzeniem Ministra Infrastruktury z dnia 26 sierpnia 2003 roku w sprawie wymaganego zakresu projektu miejscowego planu zagospodarowania p</w:t>
      </w:r>
      <w:r>
        <w:rPr>
          <w:color w:val="000000"/>
          <w:szCs w:val="20"/>
          <w:u w:color="000000"/>
        </w:rPr>
        <w:t>rzestrzennego (Dz. U. Nr 164, poz. 1587).</w:t>
      </w:r>
    </w:p>
    <w:p w14:paraId="5FBA1EB8" w14:textId="77777777" w:rsidR="0022071F" w:rsidRDefault="00E4598C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 sposobie rozpatrzenia wniesionych uwag do projektu planu oraz o sposobie realizacji zapisanych w planie inwestycji z zakresu infrastruktury techniczne</w:t>
      </w:r>
      <w:r>
        <w:rPr>
          <w:color w:val="000000"/>
          <w:szCs w:val="20"/>
          <w:u w:color="000000"/>
        </w:rPr>
        <w:t>j, które należą do zadań własnych gminy, oraz zasadach ich finansowania. W okresie wyłożenia projektu planu do publicznego wglądu nie wpłynęły żadne uwagi.</w:t>
      </w:r>
    </w:p>
    <w:sectPr w:rsidR="0022071F">
      <w:footerReference w:type="default" r:id="rId30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A293B" w14:textId="77777777" w:rsidR="00000000" w:rsidRDefault="00E4598C">
      <w:r>
        <w:separator/>
      </w:r>
    </w:p>
  </w:endnote>
  <w:endnote w:type="continuationSeparator" w:id="0">
    <w:p w14:paraId="4F982A83" w14:textId="77777777" w:rsidR="00000000" w:rsidRDefault="00E45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2071F" w14:paraId="6A3122F3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76CCB2D" w14:textId="77777777" w:rsidR="0022071F" w:rsidRDefault="00E4598C">
          <w:pPr>
            <w:jc w:val="left"/>
            <w:rPr>
              <w:sz w:val="18"/>
            </w:rPr>
          </w:pPr>
          <w:r>
            <w:rPr>
              <w:sz w:val="18"/>
            </w:rPr>
            <w:t>Id: 8B941C9D-975D-40AE-9719-74367D1FA501.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3BB7982" w14:textId="77777777" w:rsidR="0022071F" w:rsidRDefault="00E459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A16C35A" w14:textId="77777777" w:rsidR="0022071F" w:rsidRDefault="0022071F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2071F" w14:paraId="55B1FF78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9686C2B" w14:textId="77777777" w:rsidR="0022071F" w:rsidRDefault="00E4598C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8B941C9D-975D-40AE-9719-74367D1FA501.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60A56D6" w14:textId="36F4FF2A" w:rsidR="0022071F" w:rsidRDefault="00E459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8A2937C" w14:textId="77777777" w:rsidR="0022071F" w:rsidRDefault="0022071F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2071F" w14:paraId="319D0C50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76B618E" w14:textId="77777777" w:rsidR="0022071F" w:rsidRDefault="00E4598C">
          <w:pPr>
            <w:jc w:val="left"/>
            <w:rPr>
              <w:sz w:val="18"/>
            </w:rPr>
          </w:pPr>
          <w:r>
            <w:rPr>
              <w:sz w:val="18"/>
            </w:rPr>
            <w:t>Id: 8B941C9D-975D-40AE-9719-74367D1FA501.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D8A66F8" w14:textId="0D5678F6" w:rsidR="0022071F" w:rsidRDefault="00E459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0EE3931" w14:textId="77777777" w:rsidR="0022071F" w:rsidRDefault="0022071F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2071F" w14:paraId="2AFD2CF0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8E2CE37" w14:textId="77777777" w:rsidR="0022071F" w:rsidRDefault="00E4598C">
          <w:pPr>
            <w:jc w:val="left"/>
            <w:rPr>
              <w:sz w:val="18"/>
            </w:rPr>
          </w:pPr>
          <w:r>
            <w:rPr>
              <w:sz w:val="18"/>
            </w:rPr>
            <w:t>Id: 8B941C9D-975D-40AE-9719-74367D1FA501.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00DC2F7" w14:textId="2D898979" w:rsidR="0022071F" w:rsidRDefault="00E459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DB1B74C" w14:textId="77777777" w:rsidR="0022071F" w:rsidRDefault="0022071F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2071F" w14:paraId="3A678E4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C4CE68A" w14:textId="77777777" w:rsidR="0022071F" w:rsidRDefault="00E4598C">
          <w:pPr>
            <w:jc w:val="left"/>
            <w:rPr>
              <w:sz w:val="18"/>
            </w:rPr>
          </w:pPr>
          <w:r>
            <w:rPr>
              <w:sz w:val="18"/>
            </w:rPr>
            <w:t>Id: 8B941C9D-975D-40AE-9719-74367D1FA501.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D352209" w14:textId="0D43CCA7" w:rsidR="0022071F" w:rsidRDefault="00E459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1CB3AC7" w14:textId="77777777" w:rsidR="0022071F" w:rsidRDefault="0022071F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2071F" w14:paraId="0646566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349E064" w14:textId="77777777" w:rsidR="0022071F" w:rsidRDefault="00E4598C">
          <w:pPr>
            <w:jc w:val="left"/>
            <w:rPr>
              <w:sz w:val="18"/>
            </w:rPr>
          </w:pPr>
          <w:r>
            <w:rPr>
              <w:sz w:val="18"/>
            </w:rPr>
            <w:t>Id: 8B941C9D-975D-40AE-9719-74367D1FA501.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4323C76" w14:textId="3CD85F83" w:rsidR="0022071F" w:rsidRDefault="00E459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36E9273" w14:textId="77777777" w:rsidR="0022071F" w:rsidRDefault="0022071F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43BB7" w14:textId="77777777" w:rsidR="00000000" w:rsidRDefault="00E4598C">
      <w:r>
        <w:separator/>
      </w:r>
    </w:p>
  </w:footnote>
  <w:footnote w:type="continuationSeparator" w:id="0">
    <w:p w14:paraId="6E9C718F" w14:textId="77777777" w:rsidR="00000000" w:rsidRDefault="00E45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22071F"/>
    <w:rsid w:val="00A77B3E"/>
    <w:rsid w:val="00CA2A55"/>
    <w:rsid w:val="00E4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34F6B"/>
  <w15:docId w15:val="{60A90A3D-7ED2-4973-9FB6-34E58016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E1A3343-5C44-459A-A32F-1FF45A0BA621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0AD496A9-7BBE-4396-BB99-F4728189CD12.jpg" TargetMode="External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Zalacznik95F50197-83F8-43DF-B055-592D8F9F9115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Zalacznik7668ACF1-37A8-43C1-9560-3525808C7643.jpg" TargetMode="External"/><Relationship Id="rId20" Type="http://schemas.openxmlformats.org/officeDocument/2006/relationships/image" Target="Zalacznik8459AA42-54C5-4720-AED1-846376335CE9.jpg" TargetMode="External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7E3CD932-5BAA-4298-95DB-5DF0CE4B73B0.jpg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file:///C:\Users\Jarzebska_M\ezdpuw\20210427102100911\Zalacznik4.gml" TargetMode="External"/><Relationship Id="rId10" Type="http://schemas.openxmlformats.org/officeDocument/2006/relationships/image" Target="Zalacznik578A6D36-0905-4D6C-9253-D246F280E51B.jpg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85BA3BF1-25C5-435B-80C3-2744E2795028.jpg" TargetMode="External"/><Relationship Id="rId22" Type="http://schemas.openxmlformats.org/officeDocument/2006/relationships/image" Target="Zalacznik053A68B1-68F2-4903-91BC-2EE76FFF0F03.jpg" TargetMode="External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4670</Words>
  <Characters>28021</Characters>
  <Application>Microsoft Office Word</Application>
  <DocSecurity>4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32626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w^rejonie ulic: Łódzkiej, Brzeźnickiej, Porazińskiej oraz projektowanego odcinka Obwodnicy Miejskiej klasy „Z”
w Piotrkowie Trybunalskim</dc:subject>
  <dc:creator>Mroz_M</dc:creator>
  <cp:lastModifiedBy>Jarzębska Monika</cp:lastModifiedBy>
  <cp:revision>2</cp:revision>
  <dcterms:created xsi:type="dcterms:W3CDTF">2021-04-27T08:21:00Z</dcterms:created>
  <dcterms:modified xsi:type="dcterms:W3CDTF">2021-04-27T08:21:00Z</dcterms:modified>
  <cp:category>Akt prawny</cp:category>
</cp:coreProperties>
</file>