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EA49" w14:textId="77777777" w:rsidR="00E957B2" w:rsidRPr="001905E5" w:rsidRDefault="005D5FEF" w:rsidP="001905E5">
      <w:pPr>
        <w:spacing w:after="0" w:line="360" w:lineRule="auto"/>
        <w:rPr>
          <w:rFonts w:ascii="Arial" w:hAnsi="Arial" w:cs="Arial"/>
          <w:bCs/>
          <w:sz w:val="24"/>
          <w:szCs w:val="24"/>
        </w:rPr>
      </w:pPr>
      <w:r w:rsidRPr="001905E5">
        <w:rPr>
          <w:rFonts w:ascii="Arial" w:hAnsi="Arial" w:cs="Arial"/>
          <w:bCs/>
          <w:sz w:val="24"/>
          <w:szCs w:val="24"/>
        </w:rPr>
        <w:t>O</w:t>
      </w:r>
      <w:r w:rsidR="001905E5">
        <w:rPr>
          <w:rFonts w:ascii="Arial" w:hAnsi="Arial" w:cs="Arial"/>
          <w:bCs/>
          <w:sz w:val="24"/>
          <w:szCs w:val="24"/>
        </w:rPr>
        <w:t xml:space="preserve">głoszenie o </w:t>
      </w:r>
      <w:r w:rsidR="004A5315">
        <w:rPr>
          <w:rFonts w:ascii="Arial" w:hAnsi="Arial" w:cs="Arial"/>
          <w:bCs/>
          <w:sz w:val="24"/>
          <w:szCs w:val="24"/>
        </w:rPr>
        <w:t>drugi</w:t>
      </w:r>
      <w:r w:rsidR="001905E5">
        <w:rPr>
          <w:rFonts w:ascii="Arial" w:hAnsi="Arial" w:cs="Arial"/>
          <w:bCs/>
          <w:sz w:val="24"/>
          <w:szCs w:val="24"/>
        </w:rPr>
        <w:t>m ustnym przetargu nieograniczonym na sprzedaż czterech niezabudowanych działek przeznaczonych pod zabudowę mieszkaniową, położonych w Piotrkowie Trybunalskim przy ul. Rolniczej</w:t>
      </w:r>
      <w:r w:rsidR="004A5315">
        <w:rPr>
          <w:rFonts w:ascii="Arial" w:hAnsi="Arial" w:cs="Arial"/>
          <w:bCs/>
          <w:sz w:val="24"/>
          <w:szCs w:val="24"/>
        </w:rPr>
        <w:t xml:space="preserve"> – na zasadach programu „Działka pod budowę domu za 50% ceny”</w:t>
      </w:r>
      <w:r w:rsidR="001905E5">
        <w:rPr>
          <w:rFonts w:ascii="Arial" w:hAnsi="Arial" w:cs="Arial"/>
          <w:bCs/>
          <w:sz w:val="24"/>
          <w:szCs w:val="24"/>
        </w:rPr>
        <w:t>.</w:t>
      </w:r>
    </w:p>
    <w:p w14:paraId="76D3E3A9" w14:textId="77777777" w:rsidR="0080757C" w:rsidRPr="001905E5" w:rsidRDefault="0080757C" w:rsidP="001905E5">
      <w:pPr>
        <w:spacing w:after="0" w:line="360" w:lineRule="auto"/>
        <w:rPr>
          <w:rFonts w:ascii="Arial" w:hAnsi="Arial" w:cs="Arial"/>
          <w:bCs/>
          <w:sz w:val="24"/>
          <w:szCs w:val="24"/>
        </w:rPr>
      </w:pPr>
    </w:p>
    <w:p w14:paraId="39D1AEE0" w14:textId="77777777" w:rsidR="00410D11" w:rsidRPr="001905E5" w:rsidRDefault="00410D11" w:rsidP="001905E5">
      <w:pPr>
        <w:spacing w:after="0" w:line="360" w:lineRule="auto"/>
        <w:rPr>
          <w:rFonts w:ascii="Arial" w:hAnsi="Arial" w:cs="Arial"/>
          <w:bCs/>
          <w:sz w:val="24"/>
          <w:szCs w:val="24"/>
        </w:rPr>
      </w:pPr>
    </w:p>
    <w:p w14:paraId="3C2E912E" w14:textId="77777777" w:rsidR="00E50C5D" w:rsidRPr="001905E5" w:rsidRDefault="006C0205" w:rsidP="006C0205">
      <w:pPr>
        <w:pStyle w:val="Zwykytekst"/>
        <w:spacing w:line="360" w:lineRule="auto"/>
        <w:rPr>
          <w:rFonts w:ascii="Arial" w:eastAsia="MS Mincho" w:hAnsi="Arial" w:cs="Arial"/>
          <w:sz w:val="24"/>
          <w:szCs w:val="24"/>
        </w:rPr>
      </w:pPr>
      <w:r>
        <w:rPr>
          <w:rFonts w:ascii="Arial" w:eastAsia="MS Mincho" w:hAnsi="Arial" w:cs="Arial"/>
          <w:sz w:val="24"/>
          <w:szCs w:val="24"/>
        </w:rPr>
        <w:t>1.</w:t>
      </w:r>
      <w:r w:rsidR="00E50C5D" w:rsidRPr="001905E5">
        <w:rPr>
          <w:rFonts w:ascii="Arial" w:eastAsia="MS Mincho" w:hAnsi="Arial" w:cs="Arial"/>
          <w:sz w:val="24"/>
          <w:szCs w:val="24"/>
        </w:rPr>
        <w:t>Nieruchomości położone są w Piotrkowie Trybunalskim przy ul. Rolniczej, nie są obciążone prawami, ani zobowiązaniami na rzecz osób trzecich.</w:t>
      </w:r>
    </w:p>
    <w:p w14:paraId="61846854" w14:textId="77777777" w:rsidR="00E50C5D" w:rsidRPr="001905E5" w:rsidRDefault="00E50C5D" w:rsidP="001905E5">
      <w:pPr>
        <w:pStyle w:val="Zwykytekst"/>
        <w:spacing w:line="360" w:lineRule="auto"/>
        <w:rPr>
          <w:rFonts w:ascii="Arial" w:eastAsia="MS Mincho" w:hAnsi="Arial" w:cs="Arial"/>
          <w:sz w:val="24"/>
          <w:szCs w:val="24"/>
        </w:rPr>
      </w:pPr>
      <w:r w:rsidRPr="001905E5">
        <w:rPr>
          <w:rFonts w:ascii="Arial" w:hAnsi="Arial" w:cs="Arial"/>
          <w:sz w:val="24"/>
          <w:szCs w:val="24"/>
        </w:rPr>
        <w:t>Wyżej wymienione działki objęte są programem „Działka pod budowę domu za 50% ceny”, przyjętym Zarządzeniem Nr 295 Prezydenta Miasta Piotrkowa Trybunalskiego z dnia 14 września 2020 r.</w:t>
      </w:r>
    </w:p>
    <w:p w14:paraId="2FA33775" w14:textId="77777777" w:rsidR="00E50C5D" w:rsidRPr="001905E5" w:rsidRDefault="00E50C5D" w:rsidP="001905E5">
      <w:pPr>
        <w:pStyle w:val="Zwykytekst"/>
        <w:spacing w:line="360" w:lineRule="auto"/>
        <w:rPr>
          <w:rFonts w:ascii="Arial" w:eastAsia="MS Mincho" w:hAnsi="Arial" w:cs="Arial"/>
          <w:sz w:val="24"/>
          <w:szCs w:val="24"/>
        </w:rPr>
      </w:pPr>
    </w:p>
    <w:p w14:paraId="23934E49" w14:textId="77777777" w:rsidR="00E50C5D" w:rsidRPr="001905E5" w:rsidRDefault="006C0205" w:rsidP="006C0205">
      <w:pPr>
        <w:pStyle w:val="Zwykytekst"/>
        <w:spacing w:line="360" w:lineRule="auto"/>
        <w:rPr>
          <w:rFonts w:ascii="Arial" w:hAnsi="Arial" w:cs="Arial"/>
          <w:sz w:val="24"/>
          <w:szCs w:val="24"/>
        </w:rPr>
      </w:pPr>
      <w:r>
        <w:rPr>
          <w:rFonts w:ascii="Arial" w:eastAsia="MS Mincho" w:hAnsi="Arial" w:cs="Arial"/>
          <w:sz w:val="24"/>
          <w:szCs w:val="24"/>
        </w:rPr>
        <w:t>2.</w:t>
      </w:r>
      <w:r w:rsidR="00E50C5D" w:rsidRPr="001905E5">
        <w:rPr>
          <w:rFonts w:ascii="Arial" w:eastAsia="MS Mincho" w:hAnsi="Arial" w:cs="Arial"/>
          <w:sz w:val="24"/>
          <w:szCs w:val="24"/>
        </w:rPr>
        <w:t>Nieruchomości oznaczone są w ewidencji gruntów obręb 14:</w:t>
      </w:r>
    </w:p>
    <w:p w14:paraId="652F04A2" w14:textId="77777777" w:rsidR="00E50C5D" w:rsidRPr="001905E5" w:rsidRDefault="00E50C5D" w:rsidP="001905E5">
      <w:pPr>
        <w:pStyle w:val="Zwykytekst"/>
        <w:spacing w:line="360" w:lineRule="auto"/>
        <w:rPr>
          <w:rFonts w:ascii="Arial" w:hAnsi="Arial" w:cs="Arial"/>
          <w:sz w:val="24"/>
          <w:szCs w:val="24"/>
        </w:rPr>
      </w:pPr>
    </w:p>
    <w:p w14:paraId="57D1AAF1" w14:textId="77777777" w:rsidR="00E50C5D" w:rsidRPr="001905E5" w:rsidRDefault="00E50C5D" w:rsidP="001905E5">
      <w:pPr>
        <w:pStyle w:val="Akapitzlist"/>
        <w:spacing w:line="360" w:lineRule="auto"/>
        <w:ind w:left="0"/>
        <w:rPr>
          <w:rFonts w:ascii="Arial" w:hAnsi="Arial" w:cs="Arial"/>
          <w:bCs/>
          <w:sz w:val="24"/>
          <w:szCs w:val="24"/>
        </w:rPr>
      </w:pPr>
      <w:r w:rsidRPr="001905E5">
        <w:rPr>
          <w:rFonts w:ascii="Arial" w:hAnsi="Arial" w:cs="Arial"/>
          <w:sz w:val="24"/>
          <w:szCs w:val="24"/>
        </w:rPr>
        <w:t xml:space="preserve">ul. Rolnicza o łącznej powierzchni 0,0967 ha, oznaczona w ewidencji gruntów obręb 14 jako działki numer: 307/6 </w:t>
      </w:r>
      <w:r w:rsidRPr="001905E5">
        <w:rPr>
          <w:rFonts w:ascii="Arial" w:hAnsi="Arial" w:cs="Arial"/>
          <w:bCs/>
          <w:sz w:val="24"/>
          <w:szCs w:val="24"/>
        </w:rPr>
        <w:t xml:space="preserve">księga wieczysta PT1P/00110922/9 </w:t>
      </w:r>
      <w:r w:rsidRPr="001905E5">
        <w:rPr>
          <w:rFonts w:ascii="Arial" w:hAnsi="Arial" w:cs="Arial"/>
          <w:sz w:val="24"/>
          <w:szCs w:val="24"/>
        </w:rPr>
        <w:t xml:space="preserve">i 306/19 </w:t>
      </w:r>
      <w:r w:rsidRPr="001905E5">
        <w:rPr>
          <w:rFonts w:ascii="Arial" w:hAnsi="Arial" w:cs="Arial"/>
          <w:bCs/>
          <w:sz w:val="24"/>
          <w:szCs w:val="24"/>
        </w:rPr>
        <w:t>księga wieczysta PT1P/00065668/9,</w:t>
      </w:r>
    </w:p>
    <w:p w14:paraId="2197D591" w14:textId="77777777" w:rsidR="00E50C5D" w:rsidRPr="001905E5" w:rsidRDefault="00E50C5D" w:rsidP="001905E5">
      <w:pPr>
        <w:pStyle w:val="Akapitzlist"/>
        <w:spacing w:line="360" w:lineRule="auto"/>
        <w:ind w:left="850"/>
        <w:rPr>
          <w:rFonts w:ascii="Arial" w:hAnsi="Arial" w:cs="Arial"/>
          <w:sz w:val="24"/>
          <w:szCs w:val="24"/>
        </w:rPr>
      </w:pPr>
    </w:p>
    <w:p w14:paraId="58E8D25F" w14:textId="77777777" w:rsidR="00E50C5D" w:rsidRPr="001905E5" w:rsidRDefault="00E50C5D" w:rsidP="001905E5">
      <w:pPr>
        <w:pStyle w:val="Akapitzlist"/>
        <w:spacing w:line="360" w:lineRule="auto"/>
        <w:ind w:left="0"/>
        <w:rPr>
          <w:rFonts w:ascii="Arial" w:hAnsi="Arial" w:cs="Arial"/>
          <w:bCs/>
          <w:sz w:val="24"/>
          <w:szCs w:val="24"/>
        </w:rPr>
      </w:pPr>
      <w:r w:rsidRPr="001905E5">
        <w:rPr>
          <w:rFonts w:ascii="Arial" w:hAnsi="Arial" w:cs="Arial"/>
          <w:sz w:val="24"/>
          <w:szCs w:val="24"/>
        </w:rPr>
        <w:t xml:space="preserve">ul. Rolnicza o łącznej powierzchni 0,0967 ha, oznaczona w ewidencji gruntów obręb 14 jako działki numer: 307/7 </w:t>
      </w:r>
      <w:r w:rsidRPr="001905E5">
        <w:rPr>
          <w:rFonts w:ascii="Arial" w:hAnsi="Arial" w:cs="Arial"/>
          <w:bCs/>
          <w:sz w:val="24"/>
          <w:szCs w:val="24"/>
        </w:rPr>
        <w:t xml:space="preserve">księga wieczysta PT1P/00110922/9 </w:t>
      </w:r>
      <w:r w:rsidRPr="001905E5">
        <w:rPr>
          <w:rFonts w:ascii="Arial" w:hAnsi="Arial" w:cs="Arial"/>
          <w:sz w:val="24"/>
          <w:szCs w:val="24"/>
        </w:rPr>
        <w:t xml:space="preserve">i 306/20 </w:t>
      </w:r>
      <w:r w:rsidRPr="001905E5">
        <w:rPr>
          <w:rFonts w:ascii="Arial" w:hAnsi="Arial" w:cs="Arial"/>
          <w:bCs/>
          <w:sz w:val="24"/>
          <w:szCs w:val="24"/>
        </w:rPr>
        <w:t>księga wieczysta PT1P/00065668/9,</w:t>
      </w:r>
    </w:p>
    <w:p w14:paraId="76DB7747" w14:textId="77777777" w:rsidR="00E50C5D" w:rsidRPr="001905E5" w:rsidRDefault="00E50C5D" w:rsidP="001905E5">
      <w:pPr>
        <w:pStyle w:val="Akapitzlist"/>
        <w:spacing w:line="360" w:lineRule="auto"/>
        <w:ind w:left="0"/>
        <w:rPr>
          <w:rFonts w:ascii="Arial" w:hAnsi="Arial" w:cs="Arial"/>
          <w:sz w:val="24"/>
          <w:szCs w:val="24"/>
        </w:rPr>
      </w:pPr>
    </w:p>
    <w:p w14:paraId="5C7BC6CB" w14:textId="77777777" w:rsidR="00E50C5D" w:rsidRPr="001905E5" w:rsidRDefault="00E50C5D" w:rsidP="001905E5">
      <w:pPr>
        <w:pStyle w:val="Akapitzlist"/>
        <w:spacing w:line="360" w:lineRule="auto"/>
        <w:ind w:left="0"/>
        <w:rPr>
          <w:rFonts w:ascii="Arial" w:hAnsi="Arial" w:cs="Arial"/>
          <w:bCs/>
          <w:sz w:val="24"/>
          <w:szCs w:val="24"/>
        </w:rPr>
      </w:pPr>
      <w:r w:rsidRPr="001905E5">
        <w:rPr>
          <w:rFonts w:ascii="Arial" w:hAnsi="Arial" w:cs="Arial"/>
          <w:sz w:val="24"/>
          <w:szCs w:val="24"/>
        </w:rPr>
        <w:t xml:space="preserve">ul. Rolnicza o łącznej powierzchni 0,0966 ha, oznaczona w ewidencji gruntów obręb 14 jako działki numer: 307/8 </w:t>
      </w:r>
      <w:r w:rsidRPr="001905E5">
        <w:rPr>
          <w:rFonts w:ascii="Arial" w:hAnsi="Arial" w:cs="Arial"/>
          <w:bCs/>
          <w:sz w:val="24"/>
          <w:szCs w:val="24"/>
        </w:rPr>
        <w:t xml:space="preserve">księga wieczysta PT1P/00110922/9, </w:t>
      </w:r>
      <w:r w:rsidRPr="001905E5">
        <w:rPr>
          <w:rFonts w:ascii="Arial" w:hAnsi="Arial" w:cs="Arial"/>
          <w:sz w:val="24"/>
          <w:szCs w:val="24"/>
        </w:rPr>
        <w:t xml:space="preserve">306/10 i 306/21 </w:t>
      </w:r>
      <w:r w:rsidRPr="001905E5">
        <w:rPr>
          <w:rFonts w:ascii="Arial" w:hAnsi="Arial" w:cs="Arial"/>
          <w:bCs/>
          <w:sz w:val="24"/>
          <w:szCs w:val="24"/>
        </w:rPr>
        <w:t>księga wieczysta PT1P/00065668/9,</w:t>
      </w:r>
    </w:p>
    <w:p w14:paraId="13863815" w14:textId="77777777" w:rsidR="00E50C5D" w:rsidRPr="001905E5" w:rsidRDefault="00E50C5D" w:rsidP="001905E5">
      <w:pPr>
        <w:pStyle w:val="Akapitzlist"/>
        <w:spacing w:line="360" w:lineRule="auto"/>
        <w:ind w:left="0"/>
        <w:rPr>
          <w:rFonts w:ascii="Arial" w:hAnsi="Arial" w:cs="Arial"/>
          <w:sz w:val="24"/>
          <w:szCs w:val="24"/>
        </w:rPr>
      </w:pPr>
    </w:p>
    <w:p w14:paraId="1F224B68" w14:textId="77777777" w:rsidR="00E50C5D" w:rsidRPr="001905E5" w:rsidRDefault="00E50C5D" w:rsidP="001905E5">
      <w:pPr>
        <w:pStyle w:val="Akapitzlist"/>
        <w:spacing w:line="360" w:lineRule="auto"/>
        <w:ind w:left="0"/>
        <w:rPr>
          <w:rFonts w:ascii="Arial" w:hAnsi="Arial" w:cs="Arial"/>
          <w:bCs/>
          <w:sz w:val="24"/>
          <w:szCs w:val="24"/>
        </w:rPr>
      </w:pPr>
      <w:r w:rsidRPr="001905E5">
        <w:rPr>
          <w:rFonts w:ascii="Arial" w:hAnsi="Arial" w:cs="Arial"/>
          <w:sz w:val="24"/>
          <w:szCs w:val="24"/>
        </w:rPr>
        <w:t xml:space="preserve">ul. Rolnicza o łącznej powierzchni 0,0967 ha, oznaczona w ewidencji gruntów obręb 14 jako działki numer: 307/9 </w:t>
      </w:r>
      <w:r w:rsidRPr="001905E5">
        <w:rPr>
          <w:rFonts w:ascii="Arial" w:hAnsi="Arial" w:cs="Arial"/>
          <w:bCs/>
          <w:sz w:val="24"/>
          <w:szCs w:val="24"/>
        </w:rPr>
        <w:t xml:space="preserve">księga wieczysta PT1P/00110922/9 </w:t>
      </w:r>
      <w:r w:rsidRPr="001905E5">
        <w:rPr>
          <w:rFonts w:ascii="Arial" w:hAnsi="Arial" w:cs="Arial"/>
          <w:sz w:val="24"/>
          <w:szCs w:val="24"/>
        </w:rPr>
        <w:t xml:space="preserve">i 306/12 </w:t>
      </w:r>
      <w:r w:rsidRPr="001905E5">
        <w:rPr>
          <w:rFonts w:ascii="Arial" w:hAnsi="Arial" w:cs="Arial"/>
          <w:bCs/>
          <w:sz w:val="24"/>
          <w:szCs w:val="24"/>
        </w:rPr>
        <w:t>księga wieczysta PT1P/00065668/9</w:t>
      </w:r>
      <w:r w:rsidR="001905E5">
        <w:rPr>
          <w:rFonts w:ascii="Arial" w:hAnsi="Arial" w:cs="Arial"/>
          <w:bCs/>
          <w:sz w:val="24"/>
          <w:szCs w:val="24"/>
        </w:rPr>
        <w:t>.</w:t>
      </w:r>
    </w:p>
    <w:p w14:paraId="01B39D17" w14:textId="77777777" w:rsidR="00E50C5D" w:rsidRPr="001905E5" w:rsidRDefault="006C0205" w:rsidP="001905E5">
      <w:pPr>
        <w:pStyle w:val="Zwykytekst"/>
        <w:spacing w:line="360" w:lineRule="auto"/>
        <w:rPr>
          <w:rFonts w:ascii="Arial" w:hAnsi="Arial" w:cs="Arial"/>
          <w:sz w:val="24"/>
          <w:szCs w:val="24"/>
        </w:rPr>
      </w:pPr>
      <w:r>
        <w:rPr>
          <w:rFonts w:ascii="Arial" w:hAnsi="Arial" w:cs="Arial"/>
          <w:sz w:val="24"/>
          <w:szCs w:val="24"/>
        </w:rPr>
        <w:t>3.</w:t>
      </w:r>
      <w:r w:rsidR="00E50C5D" w:rsidRPr="001905E5">
        <w:rPr>
          <w:rFonts w:ascii="Arial" w:hAnsi="Arial" w:cs="Arial"/>
          <w:sz w:val="24"/>
          <w:szCs w:val="24"/>
        </w:rPr>
        <w:t>Nieruchomo</w:t>
      </w:r>
      <w:r w:rsidR="00E50C5D" w:rsidRPr="001905E5">
        <w:rPr>
          <w:rFonts w:ascii="Arial" w:eastAsia="TimesNewRoman" w:hAnsi="Arial" w:cs="Arial"/>
          <w:sz w:val="24"/>
          <w:szCs w:val="24"/>
        </w:rPr>
        <w:t xml:space="preserve">ści </w:t>
      </w:r>
      <w:r w:rsidR="00E50C5D" w:rsidRPr="001905E5">
        <w:rPr>
          <w:rFonts w:ascii="Arial" w:hAnsi="Arial" w:cs="Arial"/>
          <w:sz w:val="24"/>
          <w:szCs w:val="24"/>
        </w:rPr>
        <w:t>są niezabudowane, stanowi</w:t>
      </w:r>
      <w:r w:rsidR="00E50C5D" w:rsidRPr="001905E5">
        <w:rPr>
          <w:rFonts w:ascii="Arial" w:eastAsia="TimesNewRoman" w:hAnsi="Arial" w:cs="Arial"/>
          <w:sz w:val="24"/>
          <w:szCs w:val="24"/>
        </w:rPr>
        <w:t>ą</w:t>
      </w:r>
      <w:r w:rsidR="00E50C5D" w:rsidRPr="001905E5">
        <w:rPr>
          <w:rFonts w:ascii="Arial" w:hAnsi="Arial" w:cs="Arial"/>
          <w:sz w:val="24"/>
          <w:szCs w:val="24"/>
        </w:rPr>
        <w:t xml:space="preserve"> ugór z pojedynczymi samosiewami drzew i krzewów nie posiadaj</w:t>
      </w:r>
      <w:r w:rsidR="00E50C5D" w:rsidRPr="001905E5">
        <w:rPr>
          <w:rFonts w:ascii="Arial" w:eastAsia="TimesNewRoman" w:hAnsi="Arial" w:cs="Arial"/>
          <w:sz w:val="24"/>
          <w:szCs w:val="24"/>
        </w:rPr>
        <w:t>ą</w:t>
      </w:r>
      <w:r w:rsidR="00E50C5D" w:rsidRPr="001905E5">
        <w:rPr>
          <w:rFonts w:ascii="Arial" w:hAnsi="Arial" w:cs="Arial"/>
          <w:sz w:val="24"/>
          <w:szCs w:val="24"/>
        </w:rPr>
        <w:t>cych warto</w:t>
      </w:r>
      <w:r w:rsidR="00E50C5D" w:rsidRPr="001905E5">
        <w:rPr>
          <w:rFonts w:ascii="Arial" w:eastAsia="TimesNewRoman" w:hAnsi="Arial" w:cs="Arial"/>
          <w:sz w:val="24"/>
          <w:szCs w:val="24"/>
        </w:rPr>
        <w:t>ś</w:t>
      </w:r>
      <w:r w:rsidR="00E50C5D" w:rsidRPr="001905E5">
        <w:rPr>
          <w:rFonts w:ascii="Arial" w:hAnsi="Arial" w:cs="Arial"/>
          <w:sz w:val="24"/>
          <w:szCs w:val="24"/>
        </w:rPr>
        <w:t xml:space="preserve">ci gospodarczej. Ochronę oraz ewentualne usunięcie drzew lub krzewów reguluje ustawa z dnia 16 kwietnia 2004 r. o ochronie przyrody (Dz.U. z 2020 r., poz. 55 późniejszymi zmianami). Koszty związane ze sporządzeniem wniosku i inwentaryzacji zieleni, przeprowadzeniem zabiegów pielęgnacyjnych, usunięciem drzew i krzewów oraz ewentualnych opłat z tym </w:t>
      </w:r>
      <w:r w:rsidR="00E50C5D" w:rsidRPr="001905E5">
        <w:rPr>
          <w:rFonts w:ascii="Arial" w:hAnsi="Arial" w:cs="Arial"/>
          <w:sz w:val="24"/>
          <w:szCs w:val="24"/>
        </w:rPr>
        <w:lastRenderedPageBreak/>
        <w:t>związanych, wynikających z przepisów powołanej wyżej ustawy o ochronie przyrody i innych przepisów, ponosi posiadacz nieruchomości.</w:t>
      </w:r>
    </w:p>
    <w:p w14:paraId="629E39B2" w14:textId="77777777" w:rsidR="00E50C5D" w:rsidRPr="001905E5" w:rsidRDefault="00E50C5D" w:rsidP="001905E5">
      <w:pPr>
        <w:tabs>
          <w:tab w:val="num" w:pos="142"/>
        </w:tabs>
        <w:autoSpaceDE w:val="0"/>
        <w:autoSpaceDN w:val="0"/>
        <w:adjustRightInd w:val="0"/>
        <w:spacing w:line="360" w:lineRule="auto"/>
        <w:rPr>
          <w:rFonts w:ascii="Arial" w:hAnsi="Arial" w:cs="Arial"/>
          <w:sz w:val="24"/>
          <w:szCs w:val="24"/>
        </w:rPr>
      </w:pPr>
      <w:r w:rsidRPr="001905E5">
        <w:rPr>
          <w:rFonts w:ascii="Arial" w:hAnsi="Arial" w:cs="Arial"/>
          <w:sz w:val="24"/>
          <w:szCs w:val="24"/>
        </w:rPr>
        <w:t>Zgodnie z zaleceniami Regionalnej Dyrekcji Ochrony Środowiska w Łodzi, biorąc pod uwagę istotną rolę jaką spełniają zadrzewienia i zakrzaczenia, zaleca się ograniczenie działań związanych z wycinką drzew i krzewów tylko do uzasadnionych przypadków.</w:t>
      </w:r>
    </w:p>
    <w:p w14:paraId="6B18404C" w14:textId="77777777" w:rsidR="00E50C5D" w:rsidRPr="001905E5" w:rsidRDefault="00E50C5D" w:rsidP="001905E5">
      <w:pPr>
        <w:suppressAutoHyphens/>
        <w:spacing w:line="360" w:lineRule="auto"/>
        <w:ind w:right="1"/>
        <w:rPr>
          <w:rFonts w:ascii="Arial" w:hAnsi="Arial" w:cs="Arial"/>
          <w:spacing w:val="-3"/>
          <w:sz w:val="24"/>
          <w:szCs w:val="24"/>
        </w:rPr>
      </w:pPr>
      <w:r w:rsidRPr="001905E5">
        <w:rPr>
          <w:rFonts w:ascii="Arial" w:hAnsi="Arial" w:cs="Arial"/>
          <w:spacing w:val="-3"/>
          <w:sz w:val="24"/>
          <w:szCs w:val="24"/>
        </w:rPr>
        <w:t>W przypadku powstania odpadów przy wycince drzew i krzewów, posiadacz nieruchomości jest zobowiązany do stosowania przepisów ustawy z dnia 14 grudnia 2012 r. o odpadach (Dz.U. z 2020 r., poz. 797 z późniejszymi zmianami).</w:t>
      </w:r>
    </w:p>
    <w:p w14:paraId="1C67A444" w14:textId="77777777" w:rsidR="00E50C5D" w:rsidRPr="001905E5" w:rsidRDefault="00E50C5D" w:rsidP="001905E5">
      <w:pPr>
        <w:spacing w:line="360" w:lineRule="auto"/>
        <w:rPr>
          <w:rFonts w:ascii="Arial" w:hAnsi="Arial" w:cs="Arial"/>
          <w:sz w:val="24"/>
          <w:szCs w:val="24"/>
        </w:rPr>
      </w:pPr>
      <w:r w:rsidRPr="001905E5">
        <w:rPr>
          <w:rFonts w:ascii="Arial" w:hAnsi="Arial" w:cs="Arial"/>
          <w:sz w:val="24"/>
          <w:szCs w:val="24"/>
        </w:rPr>
        <w:t>Obsługa komunikacyjna działek przewidziana jest przez projektowany – między innymi - na działkach numer 306/18 i 306/11 układ komunikacyjny 18KDD (teren dróg publicznych, droga dojazdowa) do ulicy Rolniczej w Piotrkowie Trybunalskim. Droga obecnie nie jest urządzona.</w:t>
      </w:r>
    </w:p>
    <w:p w14:paraId="4F157388" w14:textId="77777777" w:rsidR="00E50C5D" w:rsidRPr="001905E5" w:rsidRDefault="00E50C5D" w:rsidP="001905E5">
      <w:pPr>
        <w:spacing w:after="0" w:line="360" w:lineRule="auto"/>
        <w:rPr>
          <w:rFonts w:ascii="Arial" w:hAnsi="Arial" w:cs="Arial"/>
          <w:sz w:val="24"/>
          <w:szCs w:val="24"/>
        </w:rPr>
      </w:pPr>
      <w:r w:rsidRPr="001905E5">
        <w:rPr>
          <w:rFonts w:ascii="Arial" w:hAnsi="Arial" w:cs="Arial"/>
          <w:sz w:val="24"/>
          <w:szCs w:val="24"/>
        </w:rPr>
        <w:t>W projektowanej drodze dojazdowej przebiegają elementy infrastruktury technicznej w postaci: sieci energii elektrycznej, sieci wodociągowej, sieci kanalizacji sanitarnej oraz sieci gazowej.</w:t>
      </w:r>
    </w:p>
    <w:p w14:paraId="04FE1668" w14:textId="77777777" w:rsidR="00E50C5D" w:rsidRPr="001905E5" w:rsidRDefault="00E50C5D" w:rsidP="001905E5">
      <w:pPr>
        <w:spacing w:after="0" w:line="360" w:lineRule="auto"/>
        <w:rPr>
          <w:rFonts w:ascii="Arial" w:hAnsi="Arial" w:cs="Arial"/>
          <w:sz w:val="24"/>
          <w:szCs w:val="24"/>
        </w:rPr>
      </w:pPr>
      <w:r w:rsidRPr="001905E5">
        <w:rPr>
          <w:rFonts w:ascii="Arial" w:hAnsi="Arial" w:cs="Arial"/>
          <w:sz w:val="24"/>
          <w:szCs w:val="24"/>
        </w:rPr>
        <w:t xml:space="preserve">Niezbędną infrastrukturę techniczną potrzebną do </w:t>
      </w:r>
      <w:r w:rsidRPr="001905E5">
        <w:rPr>
          <w:rFonts w:ascii="Arial" w:hAnsi="Arial" w:cs="Arial"/>
          <w:spacing w:val="-3"/>
          <w:sz w:val="24"/>
          <w:szCs w:val="24"/>
        </w:rPr>
        <w:t>realizacji zamierzonej inwestycji</w:t>
      </w:r>
      <w:r w:rsidRPr="001905E5">
        <w:rPr>
          <w:rFonts w:ascii="Arial" w:hAnsi="Arial" w:cs="Arial"/>
          <w:sz w:val="24"/>
          <w:szCs w:val="24"/>
        </w:rPr>
        <w:t xml:space="preserve"> oraz ewentualną przebudowę istniejącego  uzbrojenia nabywca wykona własnym staraniem, w porozumieniu z gestorami sieci.</w:t>
      </w:r>
    </w:p>
    <w:p w14:paraId="22AE39C6" w14:textId="77777777" w:rsidR="00E50C5D" w:rsidRPr="001905E5" w:rsidRDefault="00E50C5D" w:rsidP="001905E5">
      <w:pPr>
        <w:autoSpaceDE w:val="0"/>
        <w:autoSpaceDN w:val="0"/>
        <w:adjustRightInd w:val="0"/>
        <w:spacing w:line="360" w:lineRule="auto"/>
        <w:ind w:left="142" w:hanging="142"/>
        <w:rPr>
          <w:rFonts w:ascii="Arial" w:hAnsi="Arial" w:cs="Arial"/>
          <w:sz w:val="24"/>
          <w:szCs w:val="24"/>
        </w:rPr>
      </w:pPr>
    </w:p>
    <w:p w14:paraId="10EB17EE" w14:textId="77777777" w:rsidR="00E50C5D" w:rsidRPr="001905E5" w:rsidRDefault="00E50C5D" w:rsidP="001905E5">
      <w:pPr>
        <w:autoSpaceDE w:val="0"/>
        <w:autoSpaceDN w:val="0"/>
        <w:adjustRightInd w:val="0"/>
        <w:spacing w:line="360" w:lineRule="auto"/>
        <w:rPr>
          <w:rFonts w:ascii="Arial" w:hAnsi="Arial" w:cs="Arial"/>
          <w:sz w:val="24"/>
          <w:szCs w:val="24"/>
        </w:rPr>
      </w:pPr>
      <w:r w:rsidRPr="001905E5">
        <w:rPr>
          <w:rFonts w:ascii="Arial" w:hAnsi="Arial" w:cs="Arial"/>
          <w:sz w:val="24"/>
          <w:szCs w:val="24"/>
        </w:rPr>
        <w:t>4.Zgodnie z miejscowym planem zagospodarowania przestrzennego w rejonie ulic: Rolniczej, Topolowej i Szymanowskiego w Piotrkowie Trybunalskim, zatwierdzonym Uchwałą Nr XIV/215/19 Rady Miasta Piotrkowa Trybunalskiego z dnia 27 listopada 2019 r. (</w:t>
      </w:r>
      <w:proofErr w:type="spellStart"/>
      <w:r w:rsidRPr="001905E5">
        <w:rPr>
          <w:rFonts w:ascii="Arial" w:hAnsi="Arial" w:cs="Arial"/>
          <w:sz w:val="24"/>
          <w:szCs w:val="24"/>
        </w:rPr>
        <w:t>Dz.Urz.Woj.Łódzkiego</w:t>
      </w:r>
      <w:proofErr w:type="spellEnd"/>
      <w:r w:rsidRPr="001905E5">
        <w:rPr>
          <w:rFonts w:ascii="Arial" w:hAnsi="Arial" w:cs="Arial"/>
          <w:sz w:val="24"/>
          <w:szCs w:val="24"/>
        </w:rPr>
        <w:t xml:space="preserve"> z dnia 17 stycznia 2020 r., poz. 331) przedmiotowe działki </w:t>
      </w:r>
      <w:r w:rsidRPr="001905E5">
        <w:rPr>
          <w:rFonts w:ascii="Arial" w:hAnsi="Arial" w:cs="Arial"/>
          <w:color w:val="000000"/>
          <w:sz w:val="24"/>
          <w:szCs w:val="24"/>
        </w:rPr>
        <w:t>położone są w terenie jednostki urbanistycznej 4MN – zabudowa mieszkaniowa jednorodzinna.</w:t>
      </w:r>
    </w:p>
    <w:p w14:paraId="2601C560" w14:textId="77777777" w:rsidR="00E50C5D" w:rsidRPr="001905E5" w:rsidRDefault="00E50C5D" w:rsidP="001905E5">
      <w:pPr>
        <w:pStyle w:val="Zwykytekst"/>
        <w:tabs>
          <w:tab w:val="left" w:pos="-142"/>
        </w:tabs>
        <w:spacing w:line="360" w:lineRule="auto"/>
        <w:rPr>
          <w:rFonts w:ascii="Arial" w:eastAsia="MS Mincho" w:hAnsi="Arial" w:cs="Arial"/>
          <w:sz w:val="24"/>
          <w:szCs w:val="24"/>
        </w:rPr>
      </w:pPr>
      <w:r w:rsidRPr="001905E5">
        <w:rPr>
          <w:rFonts w:ascii="Arial" w:eastAsia="MS Mincho" w:hAnsi="Arial" w:cs="Arial"/>
          <w:sz w:val="24"/>
          <w:szCs w:val="24"/>
        </w:rPr>
        <w:t>Szczegółowe informacje w przedmiocie dopuszczalnego sposobu zagospodarowania przedmiotowej nieruchomości oraz interpretacji zapisów planu miejscowego uzyskać można w Pracowni Planowania Przestrzennego w Piotrkowie Trybunalskim, ul. Farna 8, tel. 44 732-15-10.</w:t>
      </w:r>
    </w:p>
    <w:p w14:paraId="2CFDCB65" w14:textId="77777777" w:rsidR="00526FE2" w:rsidRDefault="00526FE2" w:rsidP="001905E5">
      <w:pPr>
        <w:spacing w:line="360" w:lineRule="auto"/>
        <w:rPr>
          <w:rFonts w:ascii="Arial" w:hAnsi="Arial" w:cs="Arial"/>
          <w:sz w:val="24"/>
          <w:szCs w:val="24"/>
        </w:rPr>
      </w:pPr>
    </w:p>
    <w:p w14:paraId="1F709B2A" w14:textId="77777777" w:rsidR="00E90247" w:rsidRPr="00E90247" w:rsidRDefault="00E90247" w:rsidP="00E90247">
      <w:pPr>
        <w:pStyle w:val="Akapitzlist"/>
        <w:tabs>
          <w:tab w:val="left" w:pos="0"/>
        </w:tabs>
        <w:spacing w:line="360" w:lineRule="auto"/>
        <w:ind w:left="0"/>
        <w:rPr>
          <w:rFonts w:ascii="Arial" w:hAnsi="Arial" w:cs="Arial"/>
          <w:sz w:val="24"/>
          <w:szCs w:val="24"/>
        </w:rPr>
      </w:pPr>
      <w:r w:rsidRPr="00E90247">
        <w:rPr>
          <w:rFonts w:ascii="Arial" w:hAnsi="Arial" w:cs="Arial"/>
          <w:sz w:val="24"/>
          <w:szCs w:val="24"/>
        </w:rPr>
        <w:t>5. Ustala się następujące terminy zagospodarowania działek sprzedawanych w ramach programu „Działka pod budowę domu za 50% ceny”:</w:t>
      </w:r>
    </w:p>
    <w:p w14:paraId="3DFD59F3" w14:textId="77777777" w:rsidR="00E90247" w:rsidRPr="00E90247" w:rsidRDefault="00E90247" w:rsidP="00E90247">
      <w:pPr>
        <w:spacing w:line="360" w:lineRule="auto"/>
        <w:rPr>
          <w:rFonts w:ascii="Arial" w:hAnsi="Arial" w:cs="Arial"/>
          <w:sz w:val="24"/>
          <w:szCs w:val="24"/>
        </w:rPr>
      </w:pPr>
    </w:p>
    <w:p w14:paraId="3B7081E4" w14:textId="77777777" w:rsidR="00E90247" w:rsidRPr="00E90247" w:rsidRDefault="00E90247" w:rsidP="00E90247">
      <w:pPr>
        <w:pStyle w:val="Akapitzlist"/>
        <w:spacing w:line="360" w:lineRule="auto"/>
        <w:ind w:left="0"/>
        <w:rPr>
          <w:rFonts w:ascii="Arial" w:hAnsi="Arial" w:cs="Arial"/>
          <w:sz w:val="24"/>
          <w:szCs w:val="24"/>
        </w:rPr>
      </w:pPr>
      <w:r w:rsidRPr="00E90247">
        <w:rPr>
          <w:rFonts w:ascii="Arial" w:hAnsi="Arial" w:cs="Arial"/>
          <w:sz w:val="24"/>
          <w:szCs w:val="24"/>
        </w:rPr>
        <w:lastRenderedPageBreak/>
        <w:t>1) rozpoczęcie zabudowy w terminie 2 lat od dnia nabycia nieruchomości (za rozpoczęcie zabudowy uważa się wybudowanie fundamentów potwierdzone wpisem do dziennika budowy),</w:t>
      </w:r>
    </w:p>
    <w:p w14:paraId="6633CDA9" w14:textId="77777777" w:rsidR="00E90247" w:rsidRPr="00E90247" w:rsidRDefault="00E90247" w:rsidP="00E90247">
      <w:pPr>
        <w:pStyle w:val="Akapitzlist"/>
        <w:spacing w:line="360" w:lineRule="auto"/>
        <w:ind w:left="0"/>
        <w:rPr>
          <w:rFonts w:ascii="Arial" w:hAnsi="Arial" w:cs="Arial"/>
          <w:sz w:val="24"/>
          <w:szCs w:val="24"/>
        </w:rPr>
      </w:pPr>
      <w:r w:rsidRPr="00E90247">
        <w:rPr>
          <w:rFonts w:ascii="Arial" w:hAnsi="Arial" w:cs="Arial"/>
          <w:sz w:val="24"/>
          <w:szCs w:val="24"/>
        </w:rPr>
        <w:t xml:space="preserve">2) wybudowanie budynku mieszkalnego zgodnie z przepisami prawa, oddanie budynku do użytkowania, zameldowanie w nim i zgłoszenie do opodatkowania podatkiem od nieruchomości w terminie 5 lat od dnia nabycia nieruchomości, a także zamieszkiwanie w nim przez kolejne pięć lat (potwierdzane corocznie – w terminie do dnia 30 maja każdego roku - poprzez wskazanie nieruchomości jako miejsca zamieszkania dla potrzeb rozliczania podatku dochodowego od osób fizycznych w deklaracji PIT lub w inny odpowiedni sposób, jeżeli nabywca nieruchomości nie podlegałby opodatkowaniu z tytułu podatku dochodowego od osób fizycznych). </w:t>
      </w:r>
    </w:p>
    <w:p w14:paraId="6C65B152" w14:textId="77777777" w:rsidR="00E90247" w:rsidRPr="00E90247" w:rsidRDefault="00E90247" w:rsidP="00E90247">
      <w:pPr>
        <w:pStyle w:val="Akapitzlist"/>
        <w:tabs>
          <w:tab w:val="left" w:pos="0"/>
          <w:tab w:val="left" w:pos="142"/>
        </w:tabs>
        <w:spacing w:line="360" w:lineRule="auto"/>
        <w:ind w:left="0"/>
        <w:rPr>
          <w:rFonts w:ascii="Arial" w:hAnsi="Arial" w:cs="Arial"/>
          <w:sz w:val="24"/>
          <w:szCs w:val="24"/>
        </w:rPr>
      </w:pPr>
      <w:r w:rsidRPr="00E90247">
        <w:rPr>
          <w:rFonts w:ascii="Arial" w:hAnsi="Arial" w:cs="Arial"/>
          <w:sz w:val="24"/>
          <w:szCs w:val="24"/>
        </w:rPr>
        <w:t xml:space="preserve">Postanowienia w zakresie terminów </w:t>
      </w:r>
      <w:r w:rsidRPr="00E90247">
        <w:rPr>
          <w:rFonts w:ascii="Arial" w:eastAsia="Calibri" w:hAnsi="Arial" w:cs="Arial"/>
          <w:sz w:val="24"/>
          <w:szCs w:val="24"/>
        </w:rPr>
        <w:t xml:space="preserve">i sposobu zagospodarowania nieruchomości </w:t>
      </w:r>
      <w:r w:rsidRPr="00E90247">
        <w:rPr>
          <w:rFonts w:ascii="Arial" w:hAnsi="Arial" w:cs="Arial"/>
          <w:sz w:val="24"/>
          <w:szCs w:val="24"/>
        </w:rPr>
        <w:t>podlegać będą ujawnieniu w księdze wieczystej prowadzonej dla nabytej nieruchomości.</w:t>
      </w:r>
    </w:p>
    <w:p w14:paraId="14508A55" w14:textId="77777777" w:rsidR="00E90247" w:rsidRPr="00E90247" w:rsidRDefault="00E90247" w:rsidP="00E90247">
      <w:pPr>
        <w:spacing w:line="360" w:lineRule="auto"/>
        <w:rPr>
          <w:rFonts w:ascii="Arial" w:hAnsi="Arial" w:cs="Arial"/>
          <w:sz w:val="24"/>
          <w:szCs w:val="24"/>
        </w:rPr>
      </w:pPr>
      <w:r w:rsidRPr="00E90247">
        <w:rPr>
          <w:rFonts w:ascii="Arial" w:hAnsi="Arial" w:cs="Arial"/>
          <w:sz w:val="24"/>
          <w:szCs w:val="24"/>
        </w:rPr>
        <w:t>6. Obowiązek zagospodarowania nieruchomości sprzedawanych w ramach programu „Działka pod budowę domu za 50% ceny” zostanie zabezpieczony w następujący sposób:</w:t>
      </w:r>
    </w:p>
    <w:p w14:paraId="70D795F3" w14:textId="77777777" w:rsidR="00E90247" w:rsidRPr="00E90247" w:rsidRDefault="00E90247" w:rsidP="00E90247">
      <w:pPr>
        <w:pStyle w:val="Akapitzlist"/>
        <w:numPr>
          <w:ilvl w:val="0"/>
          <w:numId w:val="10"/>
        </w:numPr>
        <w:tabs>
          <w:tab w:val="left" w:pos="284"/>
        </w:tabs>
        <w:spacing w:after="0" w:line="360" w:lineRule="auto"/>
        <w:ind w:left="0" w:firstLine="0"/>
        <w:rPr>
          <w:rFonts w:ascii="Arial" w:hAnsi="Arial" w:cs="Arial"/>
          <w:sz w:val="24"/>
          <w:szCs w:val="24"/>
        </w:rPr>
      </w:pPr>
      <w:r w:rsidRPr="00E90247">
        <w:rPr>
          <w:rFonts w:ascii="Arial" w:hAnsi="Arial" w:cs="Arial"/>
          <w:sz w:val="24"/>
          <w:szCs w:val="24"/>
        </w:rPr>
        <w:t>w razie niedotrzymania któregokolwiek z ustalonych terminów zagospodarowania nieruchomości nabywca zobowią</w:t>
      </w:r>
      <w:r w:rsidRPr="00E90247">
        <w:rPr>
          <w:rFonts w:ascii="Arial" w:hAnsi="Arial" w:cs="Arial"/>
          <w:sz w:val="24"/>
          <w:szCs w:val="24"/>
        </w:rPr>
        <w:softHyphen/>
        <w:t>zany jest do zapłaty kar umownych:</w:t>
      </w:r>
    </w:p>
    <w:p w14:paraId="19A07887" w14:textId="77777777" w:rsidR="00E90247" w:rsidRPr="00E90247" w:rsidRDefault="00E90247" w:rsidP="00E90247">
      <w:pPr>
        <w:tabs>
          <w:tab w:val="left" w:pos="567"/>
        </w:tabs>
        <w:spacing w:line="360" w:lineRule="auto"/>
        <w:ind w:left="76" w:hanging="76"/>
        <w:rPr>
          <w:rFonts w:ascii="Arial" w:hAnsi="Arial" w:cs="Arial"/>
          <w:sz w:val="24"/>
          <w:szCs w:val="24"/>
        </w:rPr>
      </w:pPr>
      <w:r w:rsidRPr="00E90247">
        <w:rPr>
          <w:rFonts w:ascii="Arial" w:hAnsi="Arial" w:cs="Arial"/>
          <w:sz w:val="24"/>
          <w:szCs w:val="24"/>
        </w:rPr>
        <w:t>- z tytułu nierozpoczęcia prac budowlanych w wyznaczonym terminie - 10% od ceny ustalonej w wyniku przetargu w ramach programu za pierwszy rok opóźnienia, powiększanymi o 10% za każdy kolejny rok opóźnienia,</w:t>
      </w:r>
    </w:p>
    <w:p w14:paraId="3C3C803A" w14:textId="77777777" w:rsidR="00E90247" w:rsidRPr="00E90247" w:rsidRDefault="00E90247" w:rsidP="00E90247">
      <w:pPr>
        <w:tabs>
          <w:tab w:val="left" w:pos="567"/>
        </w:tabs>
        <w:spacing w:line="360" w:lineRule="auto"/>
        <w:ind w:left="76" w:hanging="76"/>
        <w:rPr>
          <w:rFonts w:ascii="Arial" w:hAnsi="Arial" w:cs="Arial"/>
          <w:sz w:val="24"/>
          <w:szCs w:val="24"/>
        </w:rPr>
      </w:pPr>
      <w:r w:rsidRPr="00E90247">
        <w:rPr>
          <w:rFonts w:ascii="Arial" w:hAnsi="Arial" w:cs="Arial"/>
          <w:sz w:val="24"/>
          <w:szCs w:val="24"/>
        </w:rPr>
        <w:t>- w przypadku rozpoczęcia i niezakończenia prac w wyznaczonym terminie - 10% od ceny ustalonej w wyniku  przetargu w ramach programu, powiększonymi o 10% za każdy kolejny rok opóźnienia,</w:t>
      </w:r>
    </w:p>
    <w:p w14:paraId="780FF8D9" w14:textId="77777777" w:rsidR="00E90247" w:rsidRPr="00E90247" w:rsidRDefault="00E90247" w:rsidP="00E90247">
      <w:pPr>
        <w:spacing w:line="360" w:lineRule="auto"/>
        <w:rPr>
          <w:rFonts w:ascii="Arial" w:hAnsi="Arial" w:cs="Arial"/>
          <w:sz w:val="24"/>
          <w:szCs w:val="24"/>
        </w:rPr>
      </w:pPr>
      <w:r w:rsidRPr="00E90247">
        <w:rPr>
          <w:rFonts w:ascii="Arial" w:hAnsi="Arial" w:cs="Arial"/>
          <w:sz w:val="24"/>
          <w:szCs w:val="24"/>
        </w:rPr>
        <w:t>- w przypadku braku corocznego potwierdzenia faktu zamieszkiwania w wybudowanym budynku – w terminie do dnia 30 maja każdego roku - poprzez wskazanie nieruchomości jako miejsca zamieszkania dla potrzeb rozliczania podatku dochodowego od osób fizycznych w deklaracji PIT, lub w inny odpowiedni sposób jeżeli nabywca nieruchomości nie podlegałby opodatkowaniu z tytułu podatku dochodowego od osób fizycznych - 5% od ceny ustalonej w wyniku przetargu w ramach programu za pierwszy rok, w którym nie przedłożono dokumentu oraz 10% od tej ceny jeżeli nie przedłożenie dokumentu za dany rok nastąpiło po raz kolejny.</w:t>
      </w:r>
    </w:p>
    <w:p w14:paraId="17CA9D7D" w14:textId="77777777" w:rsidR="00E90247" w:rsidRPr="00E90247" w:rsidRDefault="00E90247" w:rsidP="00E90247">
      <w:pPr>
        <w:spacing w:line="360" w:lineRule="auto"/>
        <w:ind w:left="567" w:hanging="283"/>
        <w:rPr>
          <w:rFonts w:ascii="Arial" w:hAnsi="Arial" w:cs="Arial"/>
          <w:sz w:val="24"/>
          <w:szCs w:val="24"/>
        </w:rPr>
      </w:pPr>
    </w:p>
    <w:p w14:paraId="5308733D" w14:textId="77777777" w:rsidR="00E90247" w:rsidRDefault="00E90247" w:rsidP="00E90247">
      <w:pPr>
        <w:pStyle w:val="Akapitzlist"/>
        <w:numPr>
          <w:ilvl w:val="0"/>
          <w:numId w:val="10"/>
        </w:numPr>
        <w:tabs>
          <w:tab w:val="left" w:pos="0"/>
          <w:tab w:val="left" w:pos="284"/>
        </w:tabs>
        <w:spacing w:after="0" w:line="360" w:lineRule="auto"/>
        <w:ind w:left="0" w:firstLine="0"/>
        <w:rPr>
          <w:rFonts w:ascii="Arial" w:hAnsi="Arial" w:cs="Arial"/>
          <w:sz w:val="24"/>
          <w:szCs w:val="24"/>
        </w:rPr>
      </w:pPr>
      <w:r w:rsidRPr="00E90247">
        <w:rPr>
          <w:rFonts w:ascii="Arial" w:hAnsi="Arial" w:cs="Arial"/>
          <w:sz w:val="24"/>
          <w:szCs w:val="24"/>
        </w:rPr>
        <w:lastRenderedPageBreak/>
        <w:t>W zakresie dotrzymania terminów zagospodarowania nieruchomości nabywca podda się rygorowi egzekucji na zasadach określonych w art. 777 § 1 pkt 5 k.p.c., przy czym Miasto będzie mogło wystąpić o nadanie aktowi notarialnemu klauzuli wykonalności w terminie do 10 lat od dnia jego podpisania, a zdarzeniem upoważniającym do tej czynności będzie brak zapłaty kary umownej w terminie jej żądania.</w:t>
      </w:r>
    </w:p>
    <w:p w14:paraId="0639D929" w14:textId="77777777" w:rsidR="00E90247" w:rsidRPr="00E90247" w:rsidRDefault="00E90247" w:rsidP="00E90247">
      <w:pPr>
        <w:tabs>
          <w:tab w:val="left" w:pos="0"/>
          <w:tab w:val="left" w:pos="284"/>
        </w:tabs>
        <w:spacing w:after="0" w:line="360" w:lineRule="auto"/>
        <w:rPr>
          <w:rFonts w:ascii="Arial" w:hAnsi="Arial" w:cs="Arial"/>
          <w:sz w:val="24"/>
          <w:szCs w:val="24"/>
        </w:rPr>
      </w:pPr>
    </w:p>
    <w:p w14:paraId="744C9FE1" w14:textId="77777777" w:rsidR="00E90247" w:rsidRPr="00E90247" w:rsidRDefault="00E90247" w:rsidP="00E90247">
      <w:pPr>
        <w:pStyle w:val="Akapitzlist"/>
        <w:numPr>
          <w:ilvl w:val="0"/>
          <w:numId w:val="10"/>
        </w:numPr>
        <w:tabs>
          <w:tab w:val="left" w:pos="284"/>
        </w:tabs>
        <w:spacing w:after="0" w:line="360" w:lineRule="auto"/>
        <w:ind w:left="0" w:firstLine="0"/>
        <w:rPr>
          <w:rFonts w:ascii="Arial" w:hAnsi="Arial" w:cs="Arial"/>
          <w:sz w:val="24"/>
          <w:szCs w:val="24"/>
        </w:rPr>
      </w:pPr>
      <w:r w:rsidRPr="00E90247">
        <w:rPr>
          <w:rFonts w:ascii="Arial" w:hAnsi="Arial" w:cs="Arial"/>
          <w:sz w:val="24"/>
          <w:szCs w:val="24"/>
        </w:rPr>
        <w:t>Jeżeli nabywca nieruchomości przed upływem 10 lat od jej nabycia dokona zbycia tej nieruchomości lub wykorzysta na inne cele niż mieszkalne (przy czym dopuszczalne jest wykorzystanie na inne cele, przy zachowaniu jako wiodącej funkcji mieszkalnej), zobowiązany będzie do zapłaty kary umownej odpowiadającej cenie nieruchomości osiągniętej  w wyniku przetargu, po jej waloryzacji dokonanej zgodnie z przepisami ustawy o gospodarce nieruchomościami.</w:t>
      </w:r>
    </w:p>
    <w:p w14:paraId="3A9E7E76" w14:textId="77777777" w:rsidR="00E90247" w:rsidRPr="00E90247" w:rsidRDefault="00E90247" w:rsidP="00E90247">
      <w:pPr>
        <w:pStyle w:val="Akapitzlist"/>
        <w:spacing w:line="360" w:lineRule="auto"/>
        <w:ind w:left="0"/>
        <w:rPr>
          <w:rFonts w:ascii="Arial" w:hAnsi="Arial" w:cs="Arial"/>
          <w:sz w:val="24"/>
          <w:szCs w:val="24"/>
        </w:rPr>
      </w:pPr>
      <w:r w:rsidRPr="00E90247">
        <w:rPr>
          <w:rFonts w:ascii="Arial" w:hAnsi="Arial" w:cs="Arial"/>
          <w:sz w:val="24"/>
          <w:szCs w:val="24"/>
        </w:rPr>
        <w:t>Wierzytelność Miasta z tego tytułu zabezpieczona zostanie w księdze wieczystej urządzonej dla nabytej nieruchomości poprzez wpisanie roszczenia o zapłatę kary umownej odpowiadającej cenie nieruchomości osiągniętej w wyniku przetargu, po jej waloryzacji dokonanej zgodnie z przepisami ustawy o gospodarce nieruchomościami.</w:t>
      </w:r>
    </w:p>
    <w:p w14:paraId="6D665B4B" w14:textId="77777777" w:rsidR="00E90247" w:rsidRPr="00E90247" w:rsidRDefault="00E90247" w:rsidP="00E90247">
      <w:pPr>
        <w:pStyle w:val="Akapitzlist"/>
        <w:spacing w:line="360" w:lineRule="auto"/>
        <w:ind w:left="0"/>
        <w:rPr>
          <w:rFonts w:ascii="Arial" w:hAnsi="Arial" w:cs="Arial"/>
          <w:sz w:val="24"/>
          <w:szCs w:val="24"/>
        </w:rPr>
      </w:pPr>
    </w:p>
    <w:p w14:paraId="0AC931B4" w14:textId="77777777" w:rsidR="00E90247" w:rsidRPr="00E90247" w:rsidRDefault="00E90247" w:rsidP="00E90247">
      <w:pPr>
        <w:pStyle w:val="Akapitzlist"/>
        <w:spacing w:line="360" w:lineRule="auto"/>
        <w:ind w:left="0"/>
        <w:rPr>
          <w:rFonts w:ascii="Arial" w:hAnsi="Arial" w:cs="Arial"/>
          <w:sz w:val="24"/>
          <w:szCs w:val="24"/>
        </w:rPr>
      </w:pPr>
      <w:r w:rsidRPr="00E90247">
        <w:rPr>
          <w:rFonts w:ascii="Arial" w:hAnsi="Arial" w:cs="Arial"/>
          <w:sz w:val="24"/>
          <w:szCs w:val="24"/>
        </w:rPr>
        <w:t>4) Maksymalne obciążenie z tytułu kar umownych określonych w  § 6 ust. 1 programu „</w:t>
      </w:r>
      <w:r w:rsidRPr="00E90247">
        <w:rPr>
          <w:rFonts w:ascii="Arial" w:hAnsi="Arial" w:cs="Arial"/>
          <w:iCs/>
          <w:sz w:val="24"/>
          <w:szCs w:val="24"/>
        </w:rPr>
        <w:t xml:space="preserve">Działka </w:t>
      </w:r>
      <w:r w:rsidRPr="00E90247">
        <w:rPr>
          <w:rFonts w:ascii="Arial" w:hAnsi="Arial" w:cs="Arial"/>
          <w:sz w:val="24"/>
          <w:szCs w:val="24"/>
        </w:rPr>
        <w:t xml:space="preserve">pod budowę domu </w:t>
      </w:r>
      <w:r w:rsidRPr="00E90247">
        <w:rPr>
          <w:rFonts w:ascii="Arial" w:hAnsi="Arial" w:cs="Arial"/>
          <w:iCs/>
          <w:sz w:val="24"/>
          <w:szCs w:val="24"/>
        </w:rPr>
        <w:t xml:space="preserve">za 50% ceny” </w:t>
      </w:r>
      <w:r w:rsidRPr="00E90247">
        <w:rPr>
          <w:rFonts w:ascii="Arial" w:hAnsi="Arial" w:cs="Arial"/>
          <w:sz w:val="24"/>
          <w:szCs w:val="24"/>
        </w:rPr>
        <w:t>nie przekroczy kwoty odpowiadającej cenie działki osiągniętej w wyniku przetargu.</w:t>
      </w:r>
    </w:p>
    <w:p w14:paraId="638477C4" w14:textId="77777777" w:rsidR="00E90247" w:rsidRPr="00E90247" w:rsidRDefault="00E90247" w:rsidP="00E90247">
      <w:pPr>
        <w:pStyle w:val="Akapitzlist"/>
        <w:spacing w:line="360" w:lineRule="auto"/>
        <w:ind w:left="0"/>
        <w:rPr>
          <w:rFonts w:ascii="Arial" w:hAnsi="Arial" w:cs="Arial"/>
          <w:sz w:val="24"/>
          <w:szCs w:val="24"/>
        </w:rPr>
      </w:pPr>
    </w:p>
    <w:p w14:paraId="6BF38EF0" w14:textId="77777777" w:rsidR="00E90247" w:rsidRPr="00E90247" w:rsidRDefault="00E90247" w:rsidP="00E90247">
      <w:pPr>
        <w:pStyle w:val="Akapitzlist"/>
        <w:spacing w:line="360" w:lineRule="auto"/>
        <w:ind w:left="0"/>
        <w:rPr>
          <w:rFonts w:ascii="Arial" w:hAnsi="Arial" w:cs="Arial"/>
          <w:sz w:val="24"/>
          <w:szCs w:val="24"/>
        </w:rPr>
      </w:pPr>
      <w:r w:rsidRPr="00E90247">
        <w:rPr>
          <w:rFonts w:ascii="Arial" w:hAnsi="Arial" w:cs="Arial"/>
          <w:sz w:val="24"/>
          <w:szCs w:val="24"/>
        </w:rPr>
        <w:t>5) Kary umownej określonej w § 6 ust. 2 programu „Działka pod budowę domu za 50% ceny” (pkt 6 ppkt 3 niniejszego ogłoszenia) za zbycie nieruchomości nie stosuje się, jeżeli zbycie to następuje na rzecz zstępnego lub małżonka, a zbywca nieruchomości w dalszym ciągu zamieszkuje w nieruchomości w okresie wskazanym w § 5 ust. 1 ppkt 2 programu.</w:t>
      </w:r>
    </w:p>
    <w:p w14:paraId="79BF8D3D" w14:textId="77777777" w:rsidR="00E90247" w:rsidRPr="00E90247" w:rsidRDefault="00E90247" w:rsidP="00E90247">
      <w:pPr>
        <w:autoSpaceDE w:val="0"/>
        <w:autoSpaceDN w:val="0"/>
        <w:adjustRightInd w:val="0"/>
        <w:spacing w:line="360" w:lineRule="auto"/>
        <w:rPr>
          <w:rFonts w:ascii="Arial" w:eastAsia="Calibri" w:hAnsi="Arial" w:cs="Arial"/>
          <w:sz w:val="24"/>
          <w:szCs w:val="24"/>
        </w:rPr>
      </w:pPr>
      <w:r w:rsidRPr="00E90247">
        <w:rPr>
          <w:rFonts w:ascii="Arial" w:eastAsia="Calibri" w:hAnsi="Arial" w:cs="Arial"/>
          <w:sz w:val="24"/>
          <w:szCs w:val="24"/>
        </w:rPr>
        <w:t xml:space="preserve">Osoba przystępująca do przetargów na sprzedaż nieruchomości może nabyć tylko jedną nieruchomość na warunkach określonych programem pn. „Działka </w:t>
      </w:r>
      <w:r w:rsidRPr="00E90247">
        <w:rPr>
          <w:rFonts w:ascii="Arial" w:hAnsi="Arial" w:cs="Arial"/>
          <w:sz w:val="24"/>
          <w:szCs w:val="24"/>
        </w:rPr>
        <w:t xml:space="preserve">pod budowę domu </w:t>
      </w:r>
      <w:r w:rsidRPr="00E90247">
        <w:rPr>
          <w:rFonts w:ascii="Arial" w:eastAsia="Calibri" w:hAnsi="Arial" w:cs="Arial"/>
          <w:sz w:val="24"/>
          <w:szCs w:val="24"/>
        </w:rPr>
        <w:t>za 50% ceny.”</w:t>
      </w:r>
    </w:p>
    <w:p w14:paraId="449A4755" w14:textId="77777777" w:rsidR="00E90247" w:rsidRPr="00E90247" w:rsidRDefault="00E90247" w:rsidP="00E90247">
      <w:pPr>
        <w:tabs>
          <w:tab w:val="left" w:pos="284"/>
        </w:tabs>
        <w:spacing w:line="360" w:lineRule="auto"/>
        <w:rPr>
          <w:rFonts w:ascii="Arial" w:hAnsi="Arial" w:cs="Arial"/>
          <w:sz w:val="24"/>
          <w:szCs w:val="24"/>
        </w:rPr>
      </w:pPr>
    </w:p>
    <w:p w14:paraId="6DAF708D" w14:textId="77777777" w:rsidR="00E90247" w:rsidRPr="00E90247" w:rsidRDefault="00E90247" w:rsidP="001905E5">
      <w:pPr>
        <w:spacing w:line="360" w:lineRule="auto"/>
        <w:rPr>
          <w:rFonts w:ascii="Arial" w:hAnsi="Arial" w:cs="Arial"/>
          <w:sz w:val="24"/>
          <w:szCs w:val="24"/>
        </w:rPr>
      </w:pPr>
    </w:p>
    <w:p w14:paraId="7E7DC7E8" w14:textId="77777777" w:rsidR="00E90247" w:rsidRPr="00E90247" w:rsidRDefault="00E90247" w:rsidP="001905E5">
      <w:pPr>
        <w:spacing w:line="360" w:lineRule="auto"/>
        <w:rPr>
          <w:rFonts w:ascii="Arial" w:hAnsi="Arial" w:cs="Arial"/>
          <w:sz w:val="24"/>
          <w:szCs w:val="24"/>
        </w:rPr>
      </w:pPr>
    </w:p>
    <w:p w14:paraId="3A6B04B2" w14:textId="77777777" w:rsidR="00E50C5D" w:rsidRPr="001905E5" w:rsidRDefault="00E90247" w:rsidP="006C0205">
      <w:pPr>
        <w:spacing w:after="0" w:line="360" w:lineRule="auto"/>
        <w:rPr>
          <w:rFonts w:ascii="Arial" w:hAnsi="Arial" w:cs="Arial"/>
          <w:sz w:val="24"/>
          <w:szCs w:val="24"/>
        </w:rPr>
      </w:pPr>
      <w:r>
        <w:rPr>
          <w:rFonts w:ascii="Arial" w:hAnsi="Arial" w:cs="Arial"/>
          <w:sz w:val="24"/>
          <w:szCs w:val="24"/>
        </w:rPr>
        <w:lastRenderedPageBreak/>
        <w:t>7</w:t>
      </w:r>
      <w:r w:rsidR="00E50C5D" w:rsidRPr="001905E5">
        <w:rPr>
          <w:rFonts w:ascii="Arial" w:hAnsi="Arial" w:cs="Arial"/>
          <w:sz w:val="24"/>
          <w:szCs w:val="24"/>
        </w:rPr>
        <w:t>. Cena wywoławcza nieruchomości położonej przy:</w:t>
      </w:r>
    </w:p>
    <w:p w14:paraId="369FEC6B" w14:textId="77777777" w:rsidR="00E50C5D" w:rsidRPr="001905E5" w:rsidRDefault="00E50C5D" w:rsidP="001905E5">
      <w:pPr>
        <w:pStyle w:val="Akapitzlist"/>
        <w:spacing w:line="360" w:lineRule="auto"/>
        <w:ind w:left="0"/>
        <w:rPr>
          <w:rFonts w:ascii="Arial" w:hAnsi="Arial" w:cs="Arial"/>
          <w:sz w:val="24"/>
          <w:szCs w:val="24"/>
        </w:rPr>
      </w:pPr>
      <w:r w:rsidRPr="001905E5">
        <w:rPr>
          <w:rFonts w:ascii="Arial" w:hAnsi="Arial" w:cs="Arial"/>
          <w:sz w:val="24"/>
          <w:szCs w:val="24"/>
        </w:rPr>
        <w:t xml:space="preserve">ul. Rolniczej (działki numer: 307/6 i 306/19) wynosi: </w:t>
      </w:r>
      <w:r w:rsidR="00E90247">
        <w:rPr>
          <w:rFonts w:ascii="Arial" w:hAnsi="Arial" w:cs="Arial"/>
          <w:sz w:val="24"/>
          <w:szCs w:val="24"/>
        </w:rPr>
        <w:t>6</w:t>
      </w:r>
      <w:r w:rsidRPr="001905E5">
        <w:rPr>
          <w:rFonts w:ascii="Arial" w:hAnsi="Arial" w:cs="Arial"/>
          <w:sz w:val="24"/>
          <w:szCs w:val="24"/>
        </w:rPr>
        <w:t>0.000,00 zł</w:t>
      </w:r>
    </w:p>
    <w:p w14:paraId="303D90DA" w14:textId="77777777" w:rsidR="00E50C5D" w:rsidRPr="001905E5" w:rsidRDefault="00E50C5D" w:rsidP="001905E5">
      <w:pPr>
        <w:pStyle w:val="Akapitzlist"/>
        <w:spacing w:line="360" w:lineRule="auto"/>
        <w:ind w:left="0"/>
        <w:rPr>
          <w:rFonts w:ascii="Arial" w:hAnsi="Arial" w:cs="Arial"/>
          <w:sz w:val="24"/>
          <w:szCs w:val="24"/>
        </w:rPr>
      </w:pPr>
      <w:r w:rsidRPr="001905E5">
        <w:rPr>
          <w:rFonts w:ascii="Arial" w:hAnsi="Arial" w:cs="Arial"/>
          <w:sz w:val="24"/>
          <w:szCs w:val="24"/>
        </w:rPr>
        <w:t xml:space="preserve">ul. Rolniczej (działki numer: 307/7 i 306/20) wynosi: </w:t>
      </w:r>
      <w:r w:rsidR="00E90247">
        <w:rPr>
          <w:rFonts w:ascii="Arial" w:hAnsi="Arial" w:cs="Arial"/>
          <w:sz w:val="24"/>
          <w:szCs w:val="24"/>
        </w:rPr>
        <w:t>6</w:t>
      </w:r>
      <w:r w:rsidRPr="001905E5">
        <w:rPr>
          <w:rFonts w:ascii="Arial" w:hAnsi="Arial" w:cs="Arial"/>
          <w:sz w:val="24"/>
          <w:szCs w:val="24"/>
        </w:rPr>
        <w:t>0.000,00 zł</w:t>
      </w:r>
    </w:p>
    <w:p w14:paraId="44EAB5B7" w14:textId="77777777" w:rsidR="00E50C5D" w:rsidRPr="001905E5" w:rsidRDefault="00E50C5D" w:rsidP="001905E5">
      <w:pPr>
        <w:pStyle w:val="Akapitzlist"/>
        <w:spacing w:line="360" w:lineRule="auto"/>
        <w:ind w:left="0"/>
        <w:rPr>
          <w:rFonts w:ascii="Arial" w:hAnsi="Arial" w:cs="Arial"/>
          <w:sz w:val="24"/>
          <w:szCs w:val="24"/>
        </w:rPr>
      </w:pPr>
      <w:r w:rsidRPr="001905E5">
        <w:rPr>
          <w:rFonts w:ascii="Arial" w:hAnsi="Arial" w:cs="Arial"/>
          <w:sz w:val="24"/>
          <w:szCs w:val="24"/>
        </w:rPr>
        <w:t xml:space="preserve">ul. Rolniczej (działki numer: 307/8, 306/10 i 306/21) wynosi: </w:t>
      </w:r>
      <w:r w:rsidR="00E90247">
        <w:rPr>
          <w:rFonts w:ascii="Arial" w:hAnsi="Arial" w:cs="Arial"/>
          <w:sz w:val="24"/>
          <w:szCs w:val="24"/>
        </w:rPr>
        <w:t>6</w:t>
      </w:r>
      <w:r w:rsidRPr="001905E5">
        <w:rPr>
          <w:rFonts w:ascii="Arial" w:hAnsi="Arial" w:cs="Arial"/>
          <w:sz w:val="24"/>
          <w:szCs w:val="24"/>
        </w:rPr>
        <w:t>0.000,00 zł</w:t>
      </w:r>
    </w:p>
    <w:p w14:paraId="7B4A01FF" w14:textId="77777777" w:rsidR="00E50C5D" w:rsidRPr="001905E5" w:rsidRDefault="00E50C5D" w:rsidP="001905E5">
      <w:pPr>
        <w:pStyle w:val="Akapitzlist"/>
        <w:spacing w:line="360" w:lineRule="auto"/>
        <w:ind w:left="0"/>
        <w:rPr>
          <w:rFonts w:ascii="Arial" w:hAnsi="Arial" w:cs="Arial"/>
          <w:sz w:val="24"/>
          <w:szCs w:val="24"/>
        </w:rPr>
      </w:pPr>
      <w:r w:rsidRPr="001905E5">
        <w:rPr>
          <w:rFonts w:ascii="Arial" w:hAnsi="Arial" w:cs="Arial"/>
          <w:sz w:val="24"/>
          <w:szCs w:val="24"/>
        </w:rPr>
        <w:t xml:space="preserve">ul. Rolniczej (działki numer: 307/9 i 306/12) wynosi: </w:t>
      </w:r>
      <w:r w:rsidR="00E90247">
        <w:rPr>
          <w:rFonts w:ascii="Arial" w:hAnsi="Arial" w:cs="Arial"/>
          <w:sz w:val="24"/>
          <w:szCs w:val="24"/>
        </w:rPr>
        <w:t>6</w:t>
      </w:r>
      <w:r w:rsidRPr="001905E5">
        <w:rPr>
          <w:rFonts w:ascii="Arial" w:hAnsi="Arial" w:cs="Arial"/>
          <w:sz w:val="24"/>
          <w:szCs w:val="24"/>
        </w:rPr>
        <w:t>0.000,00 zł</w:t>
      </w:r>
    </w:p>
    <w:p w14:paraId="613B8FA4" w14:textId="77777777" w:rsidR="00E50C5D" w:rsidRPr="001905E5" w:rsidRDefault="001905E5" w:rsidP="001905E5">
      <w:pPr>
        <w:pStyle w:val="Zwykytekst"/>
        <w:spacing w:line="360" w:lineRule="auto"/>
        <w:rPr>
          <w:rFonts w:ascii="Arial" w:hAnsi="Arial" w:cs="Arial"/>
          <w:sz w:val="24"/>
          <w:szCs w:val="24"/>
        </w:rPr>
      </w:pPr>
      <w:r>
        <w:rPr>
          <w:rFonts w:ascii="Arial" w:hAnsi="Arial" w:cs="Arial"/>
          <w:sz w:val="24"/>
          <w:szCs w:val="24"/>
        </w:rPr>
        <w:t>P</w:t>
      </w:r>
      <w:r w:rsidR="00E50C5D" w:rsidRPr="001905E5">
        <w:rPr>
          <w:rFonts w:ascii="Arial" w:hAnsi="Arial" w:cs="Arial"/>
          <w:sz w:val="24"/>
          <w:szCs w:val="24"/>
        </w:rPr>
        <w:t xml:space="preserve">rzedmiotowe nieruchomości objęte są </w:t>
      </w:r>
      <w:r w:rsidR="00E50C5D" w:rsidRPr="001905E5">
        <w:rPr>
          <w:rFonts w:ascii="Arial" w:hAnsi="Arial" w:cs="Arial"/>
          <w:iCs/>
          <w:sz w:val="24"/>
          <w:szCs w:val="24"/>
        </w:rPr>
        <w:t xml:space="preserve">programem pod nazwą „Działka </w:t>
      </w:r>
      <w:r w:rsidR="00E50C5D" w:rsidRPr="001905E5">
        <w:rPr>
          <w:rFonts w:ascii="Arial" w:hAnsi="Arial" w:cs="Arial"/>
          <w:sz w:val="24"/>
          <w:szCs w:val="24"/>
        </w:rPr>
        <w:t xml:space="preserve">pod budowę domu </w:t>
      </w:r>
      <w:r w:rsidR="00E50C5D" w:rsidRPr="001905E5">
        <w:rPr>
          <w:rFonts w:ascii="Arial" w:hAnsi="Arial" w:cs="Arial"/>
          <w:iCs/>
          <w:sz w:val="24"/>
          <w:szCs w:val="24"/>
        </w:rPr>
        <w:t>za 50% ceny”.</w:t>
      </w:r>
      <w:r w:rsidR="009069E6">
        <w:rPr>
          <w:rFonts w:ascii="Arial" w:hAnsi="Arial" w:cs="Arial"/>
          <w:iCs/>
          <w:sz w:val="24"/>
          <w:szCs w:val="24"/>
        </w:rPr>
        <w:t xml:space="preserve"> Pro</w:t>
      </w:r>
      <w:r w:rsidR="00E50C5D" w:rsidRPr="001905E5">
        <w:rPr>
          <w:rFonts w:ascii="Arial" w:hAnsi="Arial" w:cs="Arial"/>
          <w:iCs/>
          <w:sz w:val="24"/>
          <w:szCs w:val="24"/>
        </w:rPr>
        <w:t xml:space="preserve">gram, o którym mowa, wprowadzony został  Zarządzeniem Nr 295 Prezydenta Miasta Piotrkowa Trybunalskiego z dnia 14 września 2020 r. i </w:t>
      </w:r>
      <w:r w:rsidR="00E50C5D" w:rsidRPr="001905E5">
        <w:rPr>
          <w:rFonts w:ascii="Arial" w:eastAsia="MS Mincho" w:hAnsi="Arial" w:cs="Arial"/>
          <w:sz w:val="24"/>
          <w:szCs w:val="24"/>
        </w:rPr>
        <w:t xml:space="preserve">opublikowany jest </w:t>
      </w:r>
      <w:r w:rsidR="00E50C5D" w:rsidRPr="001905E5">
        <w:rPr>
          <w:rFonts w:ascii="Arial" w:hAnsi="Arial" w:cs="Arial"/>
          <w:sz w:val="24"/>
          <w:szCs w:val="24"/>
        </w:rPr>
        <w:t xml:space="preserve">na stronie internetowej Urzędu Miasta </w:t>
      </w:r>
      <w:r w:rsidR="00E50C5D" w:rsidRPr="001905E5">
        <w:rPr>
          <w:rFonts w:ascii="Arial" w:eastAsia="MS Mincho" w:hAnsi="Arial" w:cs="Arial"/>
          <w:sz w:val="24"/>
          <w:szCs w:val="24"/>
        </w:rPr>
        <w:t>w Biuletynie Informacji Publicznej zakładka:</w:t>
      </w:r>
      <w:r w:rsidR="009069E6">
        <w:rPr>
          <w:rFonts w:ascii="Arial" w:eastAsia="MS Mincho" w:hAnsi="Arial" w:cs="Arial"/>
          <w:sz w:val="24"/>
          <w:szCs w:val="24"/>
        </w:rPr>
        <w:t xml:space="preserve"> </w:t>
      </w:r>
      <w:r w:rsidR="00E50C5D" w:rsidRPr="001905E5">
        <w:rPr>
          <w:rFonts w:ascii="Arial" w:eastAsia="MS Mincho" w:hAnsi="Arial" w:cs="Arial"/>
          <w:sz w:val="24"/>
          <w:szCs w:val="24"/>
        </w:rPr>
        <w:t xml:space="preserve">Prawo lokalne </w:t>
      </w:r>
      <w:r w:rsidR="009069E6">
        <w:rPr>
          <w:rFonts w:ascii="Arial" w:eastAsia="MS Mincho" w:hAnsi="Arial" w:cs="Arial"/>
          <w:sz w:val="24"/>
          <w:szCs w:val="24"/>
        </w:rPr>
        <w:t xml:space="preserve">- </w:t>
      </w:r>
      <w:r w:rsidR="00E50C5D" w:rsidRPr="001905E5">
        <w:rPr>
          <w:rFonts w:ascii="Arial" w:eastAsia="MS Mincho" w:hAnsi="Arial" w:cs="Arial"/>
          <w:sz w:val="24"/>
          <w:szCs w:val="24"/>
        </w:rPr>
        <w:t xml:space="preserve">Zarządzenia Prezydenta Miasta </w:t>
      </w:r>
      <w:r w:rsidR="009069E6">
        <w:rPr>
          <w:rFonts w:ascii="Arial" w:eastAsia="MS Mincho" w:hAnsi="Arial" w:cs="Arial"/>
          <w:sz w:val="24"/>
          <w:szCs w:val="24"/>
        </w:rPr>
        <w:t xml:space="preserve">- </w:t>
      </w:r>
      <w:r w:rsidR="00E50C5D" w:rsidRPr="001905E5">
        <w:rPr>
          <w:rFonts w:ascii="Arial" w:eastAsia="MS Mincho" w:hAnsi="Arial" w:cs="Arial"/>
          <w:sz w:val="24"/>
          <w:szCs w:val="24"/>
        </w:rPr>
        <w:t>2020 rok</w:t>
      </w:r>
      <w:r w:rsidR="009069E6">
        <w:rPr>
          <w:rFonts w:ascii="Arial" w:eastAsia="MS Mincho" w:hAnsi="Arial" w:cs="Arial"/>
          <w:sz w:val="24"/>
          <w:szCs w:val="24"/>
        </w:rPr>
        <w:t>-</w:t>
      </w:r>
      <w:r w:rsidR="00E50C5D" w:rsidRPr="001905E5">
        <w:rPr>
          <w:rFonts w:ascii="Arial" w:eastAsia="MS Mincho" w:hAnsi="Arial" w:cs="Arial"/>
          <w:sz w:val="24"/>
          <w:szCs w:val="24"/>
        </w:rPr>
        <w:t xml:space="preserve"> III kwartał.</w:t>
      </w:r>
    </w:p>
    <w:p w14:paraId="45027818" w14:textId="77777777" w:rsidR="00E50C5D" w:rsidRPr="001905E5" w:rsidRDefault="00E50C5D" w:rsidP="001905E5">
      <w:pPr>
        <w:spacing w:line="360" w:lineRule="auto"/>
        <w:rPr>
          <w:rFonts w:ascii="Arial" w:hAnsi="Arial" w:cs="Arial"/>
          <w:iCs/>
          <w:sz w:val="24"/>
          <w:szCs w:val="24"/>
        </w:rPr>
      </w:pPr>
    </w:p>
    <w:p w14:paraId="0AC611AE" w14:textId="77777777" w:rsidR="00E50C5D" w:rsidRPr="001905E5" w:rsidRDefault="00E90247" w:rsidP="009069E6">
      <w:pPr>
        <w:tabs>
          <w:tab w:val="num" w:pos="2580"/>
        </w:tabs>
        <w:spacing w:after="0" w:line="360" w:lineRule="auto"/>
        <w:rPr>
          <w:rFonts w:ascii="Arial" w:hAnsi="Arial" w:cs="Arial"/>
          <w:sz w:val="24"/>
          <w:szCs w:val="24"/>
        </w:rPr>
      </w:pPr>
      <w:r>
        <w:rPr>
          <w:rFonts w:ascii="Arial" w:eastAsia="MS Mincho" w:hAnsi="Arial" w:cs="Arial"/>
          <w:sz w:val="24"/>
          <w:szCs w:val="24"/>
        </w:rPr>
        <w:t>8</w:t>
      </w:r>
      <w:r w:rsidR="00E50C5D" w:rsidRPr="001905E5">
        <w:rPr>
          <w:rFonts w:ascii="Arial" w:eastAsia="MS Mincho" w:hAnsi="Arial" w:cs="Arial"/>
          <w:sz w:val="24"/>
          <w:szCs w:val="24"/>
        </w:rPr>
        <w:t>.Zgodnie z przepisami ustawy z dnia 11 marca 2004 r. o podatku od towarów i usług</w:t>
      </w:r>
      <w:r w:rsidR="00E50C5D" w:rsidRPr="001905E5">
        <w:rPr>
          <w:rFonts w:ascii="Arial" w:eastAsia="MS Mincho" w:hAnsi="Arial" w:cs="Arial"/>
          <w:color w:val="000000"/>
          <w:sz w:val="24"/>
          <w:szCs w:val="24"/>
        </w:rPr>
        <w:t xml:space="preserve"> </w:t>
      </w:r>
      <w:r w:rsidR="00E50C5D" w:rsidRPr="001905E5">
        <w:rPr>
          <w:rFonts w:ascii="Arial" w:eastAsia="Tahoma" w:hAnsi="Arial" w:cs="Arial"/>
          <w:color w:val="000000"/>
          <w:sz w:val="24"/>
          <w:szCs w:val="24"/>
        </w:rPr>
        <w:t>(</w:t>
      </w:r>
      <w:r w:rsidR="00E50C5D" w:rsidRPr="001905E5">
        <w:rPr>
          <w:rFonts w:ascii="Arial" w:eastAsia="Tahoma" w:hAnsi="Arial" w:cs="Arial"/>
          <w:sz w:val="24"/>
          <w:szCs w:val="24"/>
        </w:rPr>
        <w:t>Dz.U. z 202</w:t>
      </w:r>
      <w:r>
        <w:rPr>
          <w:rFonts w:ascii="Arial" w:eastAsia="Tahoma" w:hAnsi="Arial" w:cs="Arial"/>
          <w:sz w:val="24"/>
          <w:szCs w:val="24"/>
        </w:rPr>
        <w:t>1</w:t>
      </w:r>
      <w:r w:rsidR="00E50C5D" w:rsidRPr="001905E5">
        <w:rPr>
          <w:rFonts w:ascii="Arial" w:eastAsia="Tahoma" w:hAnsi="Arial" w:cs="Arial"/>
          <w:sz w:val="24"/>
          <w:szCs w:val="24"/>
        </w:rPr>
        <w:t xml:space="preserve"> r., poz. 6</w:t>
      </w:r>
      <w:r>
        <w:rPr>
          <w:rFonts w:ascii="Arial" w:eastAsia="Tahoma" w:hAnsi="Arial" w:cs="Arial"/>
          <w:sz w:val="24"/>
          <w:szCs w:val="24"/>
        </w:rPr>
        <w:t>85</w:t>
      </w:r>
      <w:r w:rsidR="00E50C5D" w:rsidRPr="001905E5">
        <w:rPr>
          <w:rFonts w:ascii="Arial" w:eastAsia="Tahoma" w:hAnsi="Arial" w:cs="Arial"/>
          <w:sz w:val="24"/>
          <w:szCs w:val="24"/>
        </w:rPr>
        <w:t xml:space="preserve">) do ceny nieruchomości osiągniętej w wyniku przetargu doliczony zostanie podatek VAT według </w:t>
      </w:r>
      <w:r w:rsidR="00E50C5D" w:rsidRPr="001905E5">
        <w:rPr>
          <w:rFonts w:ascii="Arial" w:eastAsia="MS Mincho" w:hAnsi="Arial" w:cs="Arial"/>
          <w:sz w:val="24"/>
          <w:szCs w:val="24"/>
        </w:rPr>
        <w:t>obowiązującej w dacie sprzedaży stawki.</w:t>
      </w:r>
      <w:r w:rsidR="009069E6">
        <w:rPr>
          <w:rFonts w:ascii="Arial" w:eastAsia="MS Mincho" w:hAnsi="Arial" w:cs="Arial"/>
          <w:sz w:val="24"/>
          <w:szCs w:val="24"/>
        </w:rPr>
        <w:t xml:space="preserve"> </w:t>
      </w:r>
      <w:r w:rsidR="00E50C5D" w:rsidRPr="001905E5">
        <w:rPr>
          <w:rFonts w:ascii="Arial" w:hAnsi="Arial" w:cs="Arial"/>
          <w:sz w:val="24"/>
          <w:szCs w:val="24"/>
        </w:rPr>
        <w:t>C</w:t>
      </w:r>
      <w:r w:rsidR="00E50C5D" w:rsidRPr="001905E5">
        <w:rPr>
          <w:rFonts w:ascii="Arial" w:eastAsia="MS Mincho" w:hAnsi="Arial" w:cs="Arial"/>
          <w:sz w:val="24"/>
          <w:szCs w:val="24"/>
        </w:rPr>
        <w:t xml:space="preserve">ena nieruchomości osiągnięta w wyniku przetargu, </w:t>
      </w:r>
      <w:r w:rsidR="00E50C5D" w:rsidRPr="001905E5">
        <w:rPr>
          <w:rFonts w:ascii="Arial" w:hAnsi="Arial" w:cs="Arial"/>
          <w:sz w:val="24"/>
          <w:szCs w:val="24"/>
        </w:rPr>
        <w:t xml:space="preserve">wraz z podatkiem VAT, pomniejszona o wpłacone wadium, podlega zapłacie nie później niż na trzy dni </w:t>
      </w:r>
      <w:r w:rsidR="00E50C5D" w:rsidRPr="001905E5">
        <w:rPr>
          <w:rFonts w:ascii="Arial" w:eastAsia="Arial Unicode MS" w:hAnsi="Arial" w:cs="Arial"/>
          <w:sz w:val="24"/>
          <w:szCs w:val="24"/>
        </w:rPr>
        <w:t>przed ustalonym terminem zawarcia umowy cywilnoprawnej</w:t>
      </w:r>
      <w:r w:rsidR="00E50C5D" w:rsidRPr="001905E5">
        <w:rPr>
          <w:rFonts w:ascii="Arial" w:hAnsi="Arial" w:cs="Arial"/>
          <w:sz w:val="24"/>
          <w:szCs w:val="24"/>
        </w:rPr>
        <w:t>.</w:t>
      </w:r>
      <w:r w:rsidR="00E50C5D" w:rsidRPr="001905E5">
        <w:rPr>
          <w:rFonts w:ascii="Arial" w:eastAsia="Calibri" w:hAnsi="Arial" w:cs="Arial"/>
          <w:sz w:val="24"/>
          <w:szCs w:val="24"/>
        </w:rPr>
        <w:t>Za datę uiszczenia ceny nieruchomości uważa się datę wpływu środków pieniężnych na wskazany numer rachunku bankowego</w:t>
      </w:r>
      <w:r w:rsidR="00E50C5D" w:rsidRPr="001905E5">
        <w:rPr>
          <w:rFonts w:ascii="Arial" w:eastAsia="Arial Unicode MS" w:hAnsi="Arial" w:cs="Arial"/>
          <w:sz w:val="24"/>
          <w:szCs w:val="24"/>
        </w:rPr>
        <w:t>.</w:t>
      </w:r>
      <w:r w:rsidR="009069E6">
        <w:rPr>
          <w:rFonts w:ascii="Arial" w:eastAsia="Arial Unicode MS" w:hAnsi="Arial" w:cs="Arial"/>
          <w:sz w:val="24"/>
          <w:szCs w:val="24"/>
        </w:rPr>
        <w:t xml:space="preserve"> </w:t>
      </w:r>
      <w:r w:rsidR="00E50C5D" w:rsidRPr="001905E5">
        <w:rPr>
          <w:rFonts w:ascii="Arial" w:hAnsi="Arial" w:cs="Arial"/>
          <w:sz w:val="24"/>
          <w:szCs w:val="24"/>
        </w:rPr>
        <w:t>Cena nieruchomości nie zawiera kosztów wznowienia znaków granicznych. Ewentualne wznowienie znaków granicznych może nastąpić na wniosek i koszt nabywcy nieruchomości. Nabywca przyjmuje nieruchomość w stanie istniejącym.</w:t>
      </w:r>
    </w:p>
    <w:p w14:paraId="6BA0F555" w14:textId="77777777" w:rsidR="00E50C5D" w:rsidRPr="001905E5" w:rsidRDefault="00E50C5D" w:rsidP="001905E5">
      <w:pPr>
        <w:spacing w:after="0" w:line="360" w:lineRule="auto"/>
        <w:rPr>
          <w:rFonts w:ascii="Arial" w:hAnsi="Arial" w:cs="Arial"/>
          <w:sz w:val="24"/>
          <w:szCs w:val="24"/>
        </w:rPr>
      </w:pPr>
    </w:p>
    <w:p w14:paraId="18F0B5C4" w14:textId="77777777" w:rsidR="00E50C5D" w:rsidRPr="001905E5" w:rsidRDefault="00E90247" w:rsidP="006C0205">
      <w:pPr>
        <w:spacing w:after="0" w:line="360" w:lineRule="auto"/>
        <w:rPr>
          <w:rFonts w:ascii="Arial" w:hAnsi="Arial" w:cs="Arial"/>
          <w:sz w:val="24"/>
          <w:szCs w:val="24"/>
        </w:rPr>
      </w:pPr>
      <w:r>
        <w:rPr>
          <w:rFonts w:ascii="Arial" w:hAnsi="Arial" w:cs="Arial"/>
          <w:sz w:val="24"/>
          <w:szCs w:val="24"/>
        </w:rPr>
        <w:t>9</w:t>
      </w:r>
      <w:r w:rsidR="006C0205">
        <w:rPr>
          <w:rFonts w:ascii="Arial" w:hAnsi="Arial" w:cs="Arial"/>
          <w:sz w:val="24"/>
          <w:szCs w:val="24"/>
        </w:rPr>
        <w:t>.</w:t>
      </w:r>
      <w:r w:rsidR="00E50C5D" w:rsidRPr="001905E5">
        <w:rPr>
          <w:rFonts w:ascii="Arial" w:hAnsi="Arial" w:cs="Arial"/>
          <w:sz w:val="24"/>
          <w:szCs w:val="24"/>
        </w:rPr>
        <w:t xml:space="preserve">Wyżej wymienione nieruchomości przeznaczone są do sprzedaży, </w:t>
      </w:r>
      <w:r w:rsidR="00E50C5D" w:rsidRPr="001905E5">
        <w:rPr>
          <w:rFonts w:ascii="Arial" w:hAnsi="Arial" w:cs="Arial"/>
          <w:color w:val="222222"/>
          <w:sz w:val="24"/>
          <w:szCs w:val="24"/>
          <w:shd w:val="clear" w:color="auto" w:fill="FFFFFF"/>
        </w:rPr>
        <w:t xml:space="preserve">zgodnie z Uchwałą </w:t>
      </w:r>
      <w:r w:rsidR="00E50C5D" w:rsidRPr="001905E5">
        <w:rPr>
          <w:rFonts w:ascii="Arial" w:hAnsi="Arial" w:cs="Arial"/>
          <w:sz w:val="24"/>
          <w:szCs w:val="24"/>
        </w:rPr>
        <w:t xml:space="preserve">Nr XXVII/375/20 Rady Miasta  </w:t>
      </w:r>
      <w:r w:rsidR="00E50C5D" w:rsidRPr="001905E5">
        <w:rPr>
          <w:rFonts w:ascii="Arial" w:hAnsi="Arial" w:cs="Arial"/>
          <w:color w:val="222222"/>
          <w:sz w:val="24"/>
          <w:szCs w:val="24"/>
          <w:shd w:val="clear" w:color="auto" w:fill="FFFFFF"/>
        </w:rPr>
        <w:t xml:space="preserve">Piotrkowa Trybunalskiego </w:t>
      </w:r>
      <w:r w:rsidR="00E50C5D" w:rsidRPr="001905E5">
        <w:rPr>
          <w:rFonts w:ascii="Arial" w:hAnsi="Arial" w:cs="Arial"/>
          <w:sz w:val="24"/>
          <w:szCs w:val="24"/>
        </w:rPr>
        <w:t xml:space="preserve">z dnia 30 września 2020 r. </w:t>
      </w:r>
      <w:r w:rsidR="00E50C5D" w:rsidRPr="001905E5">
        <w:rPr>
          <w:rFonts w:ascii="Arial" w:hAnsi="Arial" w:cs="Arial"/>
          <w:color w:val="222222"/>
          <w:sz w:val="24"/>
          <w:szCs w:val="24"/>
          <w:shd w:val="clear" w:color="auto" w:fill="FFFFFF"/>
        </w:rPr>
        <w:t>w sprawie wyrażenia zgody na sprzedaż niezabudowanych nieruchomości położonych w Piotrkowie Trybunalskim przy ul. Rolniczej.</w:t>
      </w:r>
    </w:p>
    <w:p w14:paraId="6579EBA7" w14:textId="77777777" w:rsidR="00E50C5D" w:rsidRPr="001905E5" w:rsidRDefault="00E50C5D" w:rsidP="001905E5">
      <w:pPr>
        <w:pStyle w:val="Zwykytekst"/>
        <w:tabs>
          <w:tab w:val="left" w:pos="360"/>
        </w:tabs>
        <w:spacing w:line="360" w:lineRule="auto"/>
        <w:ind w:left="240" w:hanging="240"/>
        <w:rPr>
          <w:rFonts w:ascii="Arial" w:hAnsi="Arial" w:cs="Arial"/>
          <w:sz w:val="24"/>
          <w:szCs w:val="24"/>
        </w:rPr>
      </w:pPr>
    </w:p>
    <w:p w14:paraId="11526280" w14:textId="77777777" w:rsidR="00E50C5D" w:rsidRDefault="00E90247" w:rsidP="009069E6">
      <w:pPr>
        <w:pStyle w:val="Zwykytekst"/>
        <w:tabs>
          <w:tab w:val="left" w:pos="0"/>
        </w:tabs>
        <w:spacing w:line="360" w:lineRule="auto"/>
        <w:rPr>
          <w:rFonts w:ascii="Arial" w:hAnsi="Arial" w:cs="Arial"/>
          <w:sz w:val="24"/>
          <w:szCs w:val="24"/>
        </w:rPr>
      </w:pPr>
      <w:r>
        <w:rPr>
          <w:rFonts w:ascii="Arial" w:hAnsi="Arial" w:cs="Arial"/>
          <w:sz w:val="24"/>
          <w:szCs w:val="24"/>
        </w:rPr>
        <w:t>10</w:t>
      </w:r>
      <w:r w:rsidR="00E50C5D" w:rsidRPr="001905E5">
        <w:rPr>
          <w:rFonts w:ascii="Arial" w:hAnsi="Arial" w:cs="Arial"/>
          <w:sz w:val="24"/>
          <w:szCs w:val="24"/>
        </w:rPr>
        <w:t>. Niezależnie od podanych wyżej informacji, nabywca odpowiada za samodzielne zapoznanie się ze stanem prawnym i faktycznym nieruchomości, aktualnym sposobem jej wykorzystania, parametrami oraz możliwością zagospodarowania. Rozpoznanie wszelkich warunków faktycznych i prawnych niezbędnych do realizacji planowanej inwestycji, leży w całości po stronie nabywcy i stanowi obszar jego ryzyka.</w:t>
      </w:r>
    </w:p>
    <w:p w14:paraId="20999381" w14:textId="77777777" w:rsidR="009069E6" w:rsidRPr="001905E5" w:rsidRDefault="009069E6" w:rsidP="009069E6">
      <w:pPr>
        <w:pStyle w:val="Zwykytekst"/>
        <w:tabs>
          <w:tab w:val="left" w:pos="0"/>
        </w:tabs>
        <w:spacing w:line="360" w:lineRule="auto"/>
        <w:rPr>
          <w:rFonts w:ascii="Arial" w:eastAsia="Arial Unicode MS" w:hAnsi="Arial" w:cs="Arial"/>
          <w:sz w:val="24"/>
          <w:szCs w:val="24"/>
        </w:rPr>
      </w:pPr>
    </w:p>
    <w:p w14:paraId="3EBC8EE2" w14:textId="77777777" w:rsidR="00E50C5D" w:rsidRPr="001905E5" w:rsidRDefault="00E90247" w:rsidP="009069E6">
      <w:pPr>
        <w:shd w:val="clear" w:color="auto" w:fill="FFFFFF"/>
        <w:tabs>
          <w:tab w:val="left" w:pos="142"/>
          <w:tab w:val="left" w:pos="284"/>
        </w:tabs>
        <w:spacing w:line="360" w:lineRule="auto"/>
        <w:rPr>
          <w:rFonts w:ascii="Arial" w:hAnsi="Arial" w:cs="Arial"/>
          <w:sz w:val="24"/>
          <w:szCs w:val="24"/>
        </w:rPr>
      </w:pPr>
      <w:r>
        <w:rPr>
          <w:rFonts w:ascii="Arial" w:hAnsi="Arial" w:cs="Arial"/>
          <w:sz w:val="24"/>
          <w:szCs w:val="24"/>
        </w:rPr>
        <w:lastRenderedPageBreak/>
        <w:t>11</w:t>
      </w:r>
      <w:r w:rsidR="00E50C5D" w:rsidRPr="001905E5">
        <w:rPr>
          <w:rFonts w:ascii="Arial" w:hAnsi="Arial" w:cs="Arial"/>
          <w:sz w:val="24"/>
          <w:szCs w:val="24"/>
        </w:rPr>
        <w:t>. Sprzedaż działek odbywa się w stanie istniejącego uzbrojenia podziemnego i nadziemnego, określonego na mapie zasadniczej prowadzonej przez Geodetę Miasta Piotrkowa Trybunalskiego. Powyższe nie wyklucza istnienia w terenie innych, nie wskazanych na mapie urządzeń podziemnych lub co do których brak jest informacji w instytucjach branżowych. W przypadku związanych z tym faktem ewentualnych kolizji nabywca przeniesie istniejące media na własny koszt, po uprzednim dokonaniu wymaganych uzgodnień i uzyskaniu przewidzianych prawem pozwoleń.</w:t>
      </w:r>
    </w:p>
    <w:p w14:paraId="62C257D4" w14:textId="77777777" w:rsidR="00E50C5D" w:rsidRPr="001905E5" w:rsidRDefault="00E50C5D" w:rsidP="009069E6">
      <w:pPr>
        <w:shd w:val="clear" w:color="auto" w:fill="FFFFFF"/>
        <w:tabs>
          <w:tab w:val="left" w:pos="0"/>
        </w:tabs>
        <w:spacing w:line="360" w:lineRule="auto"/>
        <w:rPr>
          <w:rFonts w:ascii="Arial" w:hAnsi="Arial" w:cs="Arial"/>
          <w:sz w:val="24"/>
          <w:szCs w:val="24"/>
        </w:rPr>
      </w:pPr>
      <w:r w:rsidRPr="001905E5">
        <w:rPr>
          <w:rFonts w:ascii="Arial" w:hAnsi="Arial" w:cs="Arial"/>
          <w:sz w:val="24"/>
          <w:szCs w:val="24"/>
        </w:rPr>
        <w:t>Sprzedający nie odpowiada za wady ukryte zbywanej nieruchomości, w tym także za nieujawniony w Miejskim Ośrodku Dokumentacji Geodezyjnej i Kartograficznej w Piotrkowie Trybunalskim, przebieg podziemnych mediów.</w:t>
      </w:r>
    </w:p>
    <w:p w14:paraId="54B05727" w14:textId="77777777" w:rsidR="005D5FEF" w:rsidRDefault="005D5FEF" w:rsidP="001905E5">
      <w:pPr>
        <w:spacing w:line="360" w:lineRule="auto"/>
        <w:rPr>
          <w:rFonts w:ascii="Arial" w:eastAsia="MS Mincho" w:hAnsi="Arial" w:cs="Arial"/>
          <w:sz w:val="24"/>
          <w:szCs w:val="24"/>
        </w:rPr>
      </w:pPr>
      <w:r w:rsidRPr="001905E5">
        <w:rPr>
          <w:rFonts w:ascii="Arial" w:eastAsia="MS Mincho" w:hAnsi="Arial" w:cs="Arial"/>
          <w:sz w:val="24"/>
          <w:szCs w:val="24"/>
        </w:rPr>
        <w:t>1</w:t>
      </w:r>
      <w:r w:rsidR="00E90247">
        <w:rPr>
          <w:rFonts w:ascii="Arial" w:eastAsia="MS Mincho" w:hAnsi="Arial" w:cs="Arial"/>
          <w:sz w:val="24"/>
          <w:szCs w:val="24"/>
        </w:rPr>
        <w:t>2</w:t>
      </w:r>
      <w:r w:rsidRPr="001905E5">
        <w:rPr>
          <w:rFonts w:ascii="Arial" w:eastAsia="MS Mincho" w:hAnsi="Arial" w:cs="Arial"/>
          <w:sz w:val="24"/>
          <w:szCs w:val="24"/>
        </w:rPr>
        <w:t xml:space="preserve">. Przetarg odbędzie się w siedzibie Urzędu Miasta Piotrkowa Trybunalskiego ul. Szkolna 28 w dniu </w:t>
      </w:r>
      <w:r w:rsidR="00E90247">
        <w:rPr>
          <w:rFonts w:ascii="Arial" w:eastAsia="MS Mincho" w:hAnsi="Arial" w:cs="Arial"/>
          <w:sz w:val="24"/>
          <w:szCs w:val="24"/>
        </w:rPr>
        <w:t>25</w:t>
      </w:r>
      <w:r w:rsidR="008307D1" w:rsidRPr="001905E5">
        <w:rPr>
          <w:rFonts w:ascii="Arial" w:eastAsia="MS Mincho" w:hAnsi="Arial" w:cs="Arial"/>
          <w:sz w:val="24"/>
          <w:szCs w:val="24"/>
        </w:rPr>
        <w:t xml:space="preserve"> </w:t>
      </w:r>
      <w:r w:rsidR="00E90247">
        <w:rPr>
          <w:rFonts w:ascii="Arial" w:eastAsia="MS Mincho" w:hAnsi="Arial" w:cs="Arial"/>
          <w:sz w:val="24"/>
          <w:szCs w:val="24"/>
        </w:rPr>
        <w:t>czerwc</w:t>
      </w:r>
      <w:r w:rsidR="008307D1" w:rsidRPr="001905E5">
        <w:rPr>
          <w:rFonts w:ascii="Arial" w:eastAsia="MS Mincho" w:hAnsi="Arial" w:cs="Arial"/>
          <w:sz w:val="24"/>
          <w:szCs w:val="24"/>
        </w:rPr>
        <w:t>a</w:t>
      </w:r>
      <w:r w:rsidRPr="001905E5">
        <w:rPr>
          <w:rFonts w:ascii="Arial" w:eastAsia="MS Mincho" w:hAnsi="Arial" w:cs="Arial"/>
          <w:sz w:val="24"/>
          <w:szCs w:val="24"/>
        </w:rPr>
        <w:t xml:space="preserve"> 202</w:t>
      </w:r>
      <w:r w:rsidR="008307D1" w:rsidRPr="001905E5">
        <w:rPr>
          <w:rFonts w:ascii="Arial" w:eastAsia="MS Mincho" w:hAnsi="Arial" w:cs="Arial"/>
          <w:sz w:val="24"/>
          <w:szCs w:val="24"/>
        </w:rPr>
        <w:t>1</w:t>
      </w:r>
      <w:r w:rsidRPr="001905E5">
        <w:rPr>
          <w:rFonts w:ascii="Arial" w:eastAsia="MS Mincho" w:hAnsi="Arial" w:cs="Arial"/>
          <w:sz w:val="24"/>
          <w:szCs w:val="24"/>
        </w:rPr>
        <w:t xml:space="preserve"> r.  godz. 10</w:t>
      </w:r>
      <w:r w:rsidR="009069E6">
        <w:rPr>
          <w:rFonts w:ascii="Arial" w:eastAsia="MS Mincho" w:hAnsi="Arial" w:cs="Arial"/>
          <w:sz w:val="24"/>
          <w:szCs w:val="24"/>
        </w:rPr>
        <w:t>.</w:t>
      </w:r>
      <w:r w:rsidRPr="009069E6">
        <w:rPr>
          <w:rFonts w:ascii="Arial" w:eastAsia="MS Mincho" w:hAnsi="Arial" w:cs="Arial"/>
          <w:sz w:val="24"/>
          <w:szCs w:val="24"/>
        </w:rPr>
        <w:t>00</w:t>
      </w:r>
      <w:r w:rsidRPr="001905E5">
        <w:rPr>
          <w:rFonts w:ascii="Arial" w:eastAsia="MS Mincho" w:hAnsi="Arial" w:cs="Arial"/>
          <w:sz w:val="24"/>
          <w:szCs w:val="24"/>
        </w:rPr>
        <w:t xml:space="preserve"> w pokoju nr 3</w:t>
      </w:r>
      <w:r w:rsidR="00E90247">
        <w:rPr>
          <w:rFonts w:ascii="Arial" w:eastAsia="MS Mincho" w:hAnsi="Arial" w:cs="Arial"/>
          <w:sz w:val="24"/>
          <w:szCs w:val="24"/>
        </w:rPr>
        <w:t>04</w:t>
      </w:r>
      <w:r w:rsidRPr="001905E5">
        <w:rPr>
          <w:rFonts w:ascii="Arial" w:eastAsia="MS Mincho" w:hAnsi="Arial" w:cs="Arial"/>
          <w:sz w:val="24"/>
          <w:szCs w:val="24"/>
        </w:rPr>
        <w:t xml:space="preserve"> na III piętrze – budynek </w:t>
      </w:r>
      <w:r w:rsidR="00E90247">
        <w:rPr>
          <w:rFonts w:ascii="Arial" w:eastAsia="MS Mincho" w:hAnsi="Arial" w:cs="Arial"/>
          <w:sz w:val="24"/>
          <w:szCs w:val="24"/>
        </w:rPr>
        <w:t>A</w:t>
      </w:r>
      <w:r w:rsidRPr="001905E5">
        <w:rPr>
          <w:rFonts w:ascii="Arial" w:eastAsia="MS Mincho" w:hAnsi="Arial" w:cs="Arial"/>
          <w:sz w:val="24"/>
          <w:szCs w:val="24"/>
        </w:rPr>
        <w:t>.</w:t>
      </w:r>
    </w:p>
    <w:p w14:paraId="0C0C45AB" w14:textId="77777777" w:rsidR="00E274B1" w:rsidRPr="001905E5" w:rsidRDefault="00E274B1" w:rsidP="00E274B1">
      <w:pPr>
        <w:spacing w:after="0" w:line="360" w:lineRule="auto"/>
        <w:rPr>
          <w:rFonts w:ascii="Arial" w:eastAsia="MS Mincho" w:hAnsi="Arial" w:cs="Arial"/>
          <w:sz w:val="24"/>
          <w:szCs w:val="24"/>
        </w:rPr>
      </w:pPr>
      <w:r>
        <w:rPr>
          <w:rFonts w:ascii="Arial" w:eastAsia="MS Mincho" w:hAnsi="Arial" w:cs="Arial"/>
          <w:sz w:val="24"/>
          <w:szCs w:val="24"/>
        </w:rPr>
        <w:t xml:space="preserve">Pierwszy ustny przetarg nieograniczony na sprzedaż wyżej wymienionych działek, przeprowadzony w dniu 02 kwietnia, zakończony został wynikiem negatywnym. </w:t>
      </w:r>
    </w:p>
    <w:p w14:paraId="4DD96412" w14:textId="77777777" w:rsidR="00E274B1" w:rsidRDefault="00E274B1" w:rsidP="00E274B1">
      <w:pPr>
        <w:spacing w:after="0" w:line="360" w:lineRule="auto"/>
        <w:rPr>
          <w:rFonts w:ascii="Arial" w:eastAsia="MS Mincho" w:hAnsi="Arial" w:cs="Arial"/>
          <w:sz w:val="24"/>
          <w:szCs w:val="24"/>
        </w:rPr>
      </w:pPr>
    </w:p>
    <w:p w14:paraId="27E0F429" w14:textId="77777777" w:rsidR="00E50C5D" w:rsidRPr="001905E5" w:rsidRDefault="005D5FEF" w:rsidP="00E274B1">
      <w:pPr>
        <w:spacing w:after="0" w:line="360" w:lineRule="auto"/>
        <w:rPr>
          <w:rFonts w:ascii="Arial" w:eastAsia="MS Mincho" w:hAnsi="Arial" w:cs="Arial"/>
          <w:sz w:val="24"/>
          <w:szCs w:val="24"/>
        </w:rPr>
      </w:pPr>
      <w:r w:rsidRPr="001905E5">
        <w:rPr>
          <w:rFonts w:ascii="Arial" w:eastAsia="MS Mincho" w:hAnsi="Arial" w:cs="Arial"/>
          <w:sz w:val="24"/>
          <w:szCs w:val="24"/>
        </w:rPr>
        <w:t>1</w:t>
      </w:r>
      <w:r w:rsidR="00E90247">
        <w:rPr>
          <w:rFonts w:ascii="Arial" w:eastAsia="MS Mincho" w:hAnsi="Arial" w:cs="Arial"/>
          <w:sz w:val="24"/>
          <w:szCs w:val="24"/>
        </w:rPr>
        <w:t>3</w:t>
      </w:r>
      <w:r w:rsidRPr="001905E5">
        <w:rPr>
          <w:rFonts w:ascii="Arial" w:eastAsia="MS Mincho" w:hAnsi="Arial" w:cs="Arial"/>
          <w:sz w:val="24"/>
          <w:szCs w:val="24"/>
        </w:rPr>
        <w:t>. Wadium za nieruchomość położoną przy</w:t>
      </w:r>
      <w:r w:rsidR="00E50C5D" w:rsidRPr="001905E5">
        <w:rPr>
          <w:rFonts w:ascii="Arial" w:eastAsia="MS Mincho" w:hAnsi="Arial" w:cs="Arial"/>
          <w:sz w:val="24"/>
          <w:szCs w:val="24"/>
        </w:rPr>
        <w:t>:</w:t>
      </w:r>
    </w:p>
    <w:p w14:paraId="7C0398C4" w14:textId="77777777" w:rsidR="00E50C5D" w:rsidRPr="001905E5" w:rsidRDefault="00E50C5D" w:rsidP="009069E6">
      <w:pPr>
        <w:pStyle w:val="Akapitzlist"/>
        <w:spacing w:line="360" w:lineRule="auto"/>
        <w:ind w:left="0"/>
        <w:rPr>
          <w:rFonts w:ascii="Arial" w:hAnsi="Arial" w:cs="Arial"/>
          <w:sz w:val="24"/>
          <w:szCs w:val="24"/>
        </w:rPr>
      </w:pPr>
      <w:r w:rsidRPr="001905E5">
        <w:rPr>
          <w:rFonts w:ascii="Arial" w:hAnsi="Arial" w:cs="Arial"/>
          <w:sz w:val="24"/>
          <w:szCs w:val="24"/>
        </w:rPr>
        <w:t xml:space="preserve">ul. Rolniczej (działki numer: 307/6 i 306/19) wynosi: </w:t>
      </w:r>
      <w:r w:rsidR="00E90247">
        <w:rPr>
          <w:rFonts w:ascii="Arial" w:hAnsi="Arial" w:cs="Arial"/>
          <w:sz w:val="24"/>
          <w:szCs w:val="24"/>
        </w:rPr>
        <w:t>12</w:t>
      </w:r>
      <w:r w:rsidRPr="001905E5">
        <w:rPr>
          <w:rFonts w:ascii="Arial" w:hAnsi="Arial" w:cs="Arial"/>
          <w:sz w:val="24"/>
          <w:szCs w:val="24"/>
        </w:rPr>
        <w:t>.000,00 zł</w:t>
      </w:r>
    </w:p>
    <w:p w14:paraId="3108892C" w14:textId="77777777" w:rsidR="00E50C5D" w:rsidRPr="001905E5" w:rsidRDefault="009069E6" w:rsidP="009069E6">
      <w:pPr>
        <w:pStyle w:val="Akapitzlist"/>
        <w:spacing w:line="360" w:lineRule="auto"/>
        <w:ind w:left="0"/>
        <w:rPr>
          <w:rFonts w:ascii="Arial" w:hAnsi="Arial" w:cs="Arial"/>
          <w:sz w:val="24"/>
          <w:szCs w:val="24"/>
        </w:rPr>
      </w:pPr>
      <w:r>
        <w:rPr>
          <w:rFonts w:ascii="Arial" w:hAnsi="Arial" w:cs="Arial"/>
          <w:sz w:val="24"/>
          <w:szCs w:val="24"/>
        </w:rPr>
        <w:t>u</w:t>
      </w:r>
      <w:r w:rsidR="00E50C5D" w:rsidRPr="001905E5">
        <w:rPr>
          <w:rFonts w:ascii="Arial" w:hAnsi="Arial" w:cs="Arial"/>
          <w:sz w:val="24"/>
          <w:szCs w:val="24"/>
        </w:rPr>
        <w:t xml:space="preserve">l. Rolniczej (działki numer: 307/7 i 306/20) </w:t>
      </w:r>
      <w:r>
        <w:rPr>
          <w:rFonts w:ascii="Arial" w:hAnsi="Arial" w:cs="Arial"/>
          <w:sz w:val="24"/>
          <w:szCs w:val="24"/>
        </w:rPr>
        <w:t>wy</w:t>
      </w:r>
      <w:r w:rsidR="00E50C5D" w:rsidRPr="001905E5">
        <w:rPr>
          <w:rFonts w:ascii="Arial" w:hAnsi="Arial" w:cs="Arial"/>
          <w:sz w:val="24"/>
          <w:szCs w:val="24"/>
        </w:rPr>
        <w:t xml:space="preserve">nosi: </w:t>
      </w:r>
      <w:r w:rsidR="00E90247">
        <w:rPr>
          <w:rFonts w:ascii="Arial" w:hAnsi="Arial" w:cs="Arial"/>
          <w:sz w:val="24"/>
          <w:szCs w:val="24"/>
        </w:rPr>
        <w:t>12</w:t>
      </w:r>
      <w:r w:rsidR="00E50C5D" w:rsidRPr="001905E5">
        <w:rPr>
          <w:rFonts w:ascii="Arial" w:hAnsi="Arial" w:cs="Arial"/>
          <w:sz w:val="24"/>
          <w:szCs w:val="24"/>
        </w:rPr>
        <w:t>.000,00 zł</w:t>
      </w:r>
    </w:p>
    <w:p w14:paraId="2F831B1A" w14:textId="77777777" w:rsidR="00E50C5D" w:rsidRPr="001905E5" w:rsidRDefault="00E50C5D" w:rsidP="009069E6">
      <w:pPr>
        <w:pStyle w:val="Akapitzlist"/>
        <w:spacing w:line="360" w:lineRule="auto"/>
        <w:ind w:left="0"/>
        <w:rPr>
          <w:rFonts w:ascii="Arial" w:hAnsi="Arial" w:cs="Arial"/>
          <w:sz w:val="24"/>
          <w:szCs w:val="24"/>
        </w:rPr>
      </w:pPr>
      <w:r w:rsidRPr="001905E5">
        <w:rPr>
          <w:rFonts w:ascii="Arial" w:hAnsi="Arial" w:cs="Arial"/>
          <w:sz w:val="24"/>
          <w:szCs w:val="24"/>
        </w:rPr>
        <w:t xml:space="preserve">ul. Rolniczej (działki numer: 307/8, 306/10 i 306/21) wynosi: </w:t>
      </w:r>
      <w:r w:rsidR="00E90247">
        <w:rPr>
          <w:rFonts w:ascii="Arial" w:hAnsi="Arial" w:cs="Arial"/>
          <w:sz w:val="24"/>
          <w:szCs w:val="24"/>
        </w:rPr>
        <w:t>12</w:t>
      </w:r>
      <w:r w:rsidRPr="001905E5">
        <w:rPr>
          <w:rFonts w:ascii="Arial" w:hAnsi="Arial" w:cs="Arial"/>
          <w:sz w:val="24"/>
          <w:szCs w:val="24"/>
        </w:rPr>
        <w:t>.000,00 zł</w:t>
      </w:r>
    </w:p>
    <w:p w14:paraId="53B37E2D" w14:textId="77777777" w:rsidR="00E50C5D" w:rsidRPr="001905E5" w:rsidRDefault="00E50C5D" w:rsidP="009069E6">
      <w:pPr>
        <w:pStyle w:val="Akapitzlist"/>
        <w:spacing w:line="360" w:lineRule="auto"/>
        <w:ind w:left="0"/>
        <w:rPr>
          <w:rFonts w:ascii="Arial" w:hAnsi="Arial" w:cs="Arial"/>
          <w:sz w:val="24"/>
          <w:szCs w:val="24"/>
        </w:rPr>
      </w:pPr>
      <w:r w:rsidRPr="001905E5">
        <w:rPr>
          <w:rFonts w:ascii="Arial" w:hAnsi="Arial" w:cs="Arial"/>
          <w:sz w:val="24"/>
          <w:szCs w:val="24"/>
        </w:rPr>
        <w:t xml:space="preserve">ul. Rolniczej (działki numer: 307/9 i 306/12) wynosi: </w:t>
      </w:r>
      <w:r w:rsidR="00E90247">
        <w:rPr>
          <w:rFonts w:ascii="Arial" w:hAnsi="Arial" w:cs="Arial"/>
          <w:sz w:val="24"/>
          <w:szCs w:val="24"/>
        </w:rPr>
        <w:t>12</w:t>
      </w:r>
      <w:r w:rsidRPr="001905E5">
        <w:rPr>
          <w:rFonts w:ascii="Arial" w:hAnsi="Arial" w:cs="Arial"/>
          <w:sz w:val="24"/>
          <w:szCs w:val="24"/>
        </w:rPr>
        <w:t>.000,00 zł</w:t>
      </w:r>
    </w:p>
    <w:p w14:paraId="27FC5400" w14:textId="77777777" w:rsidR="005D5FEF" w:rsidRPr="001905E5" w:rsidRDefault="005D5FEF" w:rsidP="001905E5">
      <w:pPr>
        <w:spacing w:line="360" w:lineRule="auto"/>
        <w:rPr>
          <w:rFonts w:ascii="Arial" w:hAnsi="Arial" w:cs="Arial"/>
          <w:sz w:val="24"/>
          <w:szCs w:val="24"/>
        </w:rPr>
      </w:pPr>
      <w:r w:rsidRPr="001905E5">
        <w:rPr>
          <w:rFonts w:ascii="Arial" w:hAnsi="Arial" w:cs="Arial"/>
          <w:sz w:val="24"/>
          <w:szCs w:val="24"/>
        </w:rPr>
        <w:t>i musi znajdować się na rachunku b</w:t>
      </w:r>
      <w:r w:rsidRPr="001905E5">
        <w:rPr>
          <w:rFonts w:ascii="Arial" w:hAnsi="Arial" w:cs="Arial"/>
          <w:color w:val="000000"/>
          <w:sz w:val="24"/>
          <w:szCs w:val="24"/>
        </w:rPr>
        <w:t xml:space="preserve">ankowym Urzędu Miasta Piotrkowa Trybunalskiego prowadzonym w </w:t>
      </w:r>
      <w:r w:rsidRPr="001905E5">
        <w:rPr>
          <w:rStyle w:val="Pogrubienie"/>
          <w:rFonts w:ascii="Arial" w:hAnsi="Arial" w:cs="Arial"/>
          <w:b w:val="0"/>
          <w:sz w:val="24"/>
          <w:szCs w:val="24"/>
        </w:rPr>
        <w:t>Getin Noble Bank SA nr konta:</w:t>
      </w:r>
      <w:r w:rsidRPr="001905E5">
        <w:rPr>
          <w:rFonts w:ascii="Arial" w:hAnsi="Arial" w:cs="Arial"/>
          <w:sz w:val="24"/>
          <w:szCs w:val="24"/>
        </w:rPr>
        <w:t xml:space="preserve"> 58 1560 0013 2323 1404 1000 0003 w terminie do dnia </w:t>
      </w:r>
      <w:r w:rsidR="008307D1" w:rsidRPr="001905E5">
        <w:rPr>
          <w:rFonts w:ascii="Arial" w:hAnsi="Arial" w:cs="Arial"/>
          <w:bCs/>
          <w:sz w:val="24"/>
          <w:szCs w:val="24"/>
        </w:rPr>
        <w:t>2</w:t>
      </w:r>
      <w:r w:rsidR="00E90247">
        <w:rPr>
          <w:rFonts w:ascii="Arial" w:hAnsi="Arial" w:cs="Arial"/>
          <w:bCs/>
          <w:sz w:val="24"/>
          <w:szCs w:val="24"/>
        </w:rPr>
        <w:t>1</w:t>
      </w:r>
      <w:r w:rsidR="008307D1" w:rsidRPr="001905E5">
        <w:rPr>
          <w:rFonts w:ascii="Arial" w:hAnsi="Arial" w:cs="Arial"/>
          <w:bCs/>
          <w:sz w:val="24"/>
          <w:szCs w:val="24"/>
        </w:rPr>
        <w:t xml:space="preserve"> </w:t>
      </w:r>
      <w:r w:rsidR="00E90247">
        <w:rPr>
          <w:rFonts w:ascii="Arial" w:hAnsi="Arial" w:cs="Arial"/>
          <w:bCs/>
          <w:sz w:val="24"/>
          <w:szCs w:val="24"/>
        </w:rPr>
        <w:t>czerwc</w:t>
      </w:r>
      <w:r w:rsidR="008307D1" w:rsidRPr="001905E5">
        <w:rPr>
          <w:rFonts w:ascii="Arial" w:hAnsi="Arial" w:cs="Arial"/>
          <w:bCs/>
          <w:sz w:val="24"/>
          <w:szCs w:val="24"/>
        </w:rPr>
        <w:t>a</w:t>
      </w:r>
      <w:r w:rsidRPr="001905E5">
        <w:rPr>
          <w:rFonts w:ascii="Arial" w:hAnsi="Arial" w:cs="Arial"/>
          <w:bCs/>
          <w:sz w:val="24"/>
          <w:szCs w:val="24"/>
        </w:rPr>
        <w:t xml:space="preserve"> 202</w:t>
      </w:r>
      <w:r w:rsidR="008307D1" w:rsidRPr="001905E5">
        <w:rPr>
          <w:rFonts w:ascii="Arial" w:hAnsi="Arial" w:cs="Arial"/>
          <w:bCs/>
          <w:sz w:val="24"/>
          <w:szCs w:val="24"/>
        </w:rPr>
        <w:t>1</w:t>
      </w:r>
      <w:r w:rsidRPr="001905E5">
        <w:rPr>
          <w:rFonts w:ascii="Arial" w:hAnsi="Arial" w:cs="Arial"/>
          <w:bCs/>
          <w:sz w:val="24"/>
          <w:szCs w:val="24"/>
        </w:rPr>
        <w:t xml:space="preserve"> r</w:t>
      </w:r>
      <w:r w:rsidRPr="001905E5">
        <w:rPr>
          <w:rFonts w:ascii="Arial" w:hAnsi="Arial" w:cs="Arial"/>
          <w:sz w:val="24"/>
          <w:szCs w:val="24"/>
        </w:rPr>
        <w:t>.(włącznie), przy czym wpłata wadium nie powoduje naliczenia odsetek od zdeponowanej kwoty.</w:t>
      </w:r>
    </w:p>
    <w:p w14:paraId="162F3AB3" w14:textId="77777777" w:rsidR="005D5FEF" w:rsidRPr="001905E5" w:rsidRDefault="009069E6" w:rsidP="009069E6">
      <w:pPr>
        <w:pStyle w:val="Zwykytekst"/>
        <w:spacing w:line="360" w:lineRule="auto"/>
        <w:rPr>
          <w:rFonts w:ascii="Arial" w:hAnsi="Arial" w:cs="Arial"/>
          <w:sz w:val="24"/>
          <w:szCs w:val="24"/>
        </w:rPr>
      </w:pPr>
      <w:r>
        <w:rPr>
          <w:rFonts w:ascii="Arial" w:hAnsi="Arial" w:cs="Arial"/>
          <w:sz w:val="24"/>
          <w:szCs w:val="24"/>
        </w:rPr>
        <w:t>Z</w:t>
      </w:r>
      <w:r w:rsidR="005D5FEF" w:rsidRPr="001905E5">
        <w:rPr>
          <w:rFonts w:ascii="Arial" w:hAnsi="Arial" w:cs="Arial"/>
          <w:sz w:val="24"/>
          <w:szCs w:val="24"/>
        </w:rPr>
        <w:t xml:space="preserve">a termin wniesienia wadium uważa się datę wpływu środków pieniężnych na wyżej wymieniony numer rachunku bankowego. </w:t>
      </w:r>
      <w:r>
        <w:rPr>
          <w:rFonts w:ascii="Arial" w:hAnsi="Arial" w:cs="Arial"/>
          <w:sz w:val="24"/>
          <w:szCs w:val="24"/>
        </w:rPr>
        <w:t>O</w:t>
      </w:r>
      <w:r w:rsidR="005D5FEF" w:rsidRPr="001905E5">
        <w:rPr>
          <w:rFonts w:ascii="Arial" w:hAnsi="Arial" w:cs="Arial"/>
          <w:sz w:val="24"/>
          <w:szCs w:val="24"/>
        </w:rPr>
        <w:t>sobie, która przetarg wygra, wpłacone wadium zostanie zaliczone na poczet ceny nabycia nieruchomości.</w:t>
      </w:r>
    </w:p>
    <w:p w14:paraId="2CEBAF6F" w14:textId="77777777" w:rsidR="005D5FEF" w:rsidRPr="001905E5" w:rsidRDefault="005D5FEF" w:rsidP="009069E6">
      <w:pPr>
        <w:pStyle w:val="Zwykytekst"/>
        <w:spacing w:line="360" w:lineRule="auto"/>
        <w:rPr>
          <w:rFonts w:ascii="Arial" w:eastAsia="MS Mincho" w:hAnsi="Arial" w:cs="Arial"/>
          <w:sz w:val="24"/>
          <w:szCs w:val="24"/>
        </w:rPr>
      </w:pPr>
      <w:r w:rsidRPr="001905E5">
        <w:rPr>
          <w:rFonts w:ascii="Arial" w:eastAsia="MS Mincho" w:hAnsi="Arial" w:cs="Arial"/>
          <w:sz w:val="24"/>
          <w:szCs w:val="24"/>
        </w:rPr>
        <w:t>Wadium zwraca się niezwłocznie po odwołaniu lub zamknięciu przetargu jednak nie później niż przed upływem 3 dni od dnia, odpowiednio: odwołania przetargu, zamknięcia przetargu, unieważnienia przetargu, zakończenia przetargu wynikiem negatywnym.</w:t>
      </w:r>
    </w:p>
    <w:p w14:paraId="68B5F6F6" w14:textId="77777777" w:rsidR="005D5FEF" w:rsidRPr="001905E5" w:rsidRDefault="005D5FEF" w:rsidP="009069E6">
      <w:pPr>
        <w:spacing w:line="360" w:lineRule="auto"/>
        <w:rPr>
          <w:rFonts w:ascii="Arial" w:eastAsia="Times New Roman" w:hAnsi="Arial" w:cs="Arial"/>
          <w:sz w:val="24"/>
          <w:szCs w:val="24"/>
        </w:rPr>
      </w:pPr>
      <w:r w:rsidRPr="001905E5">
        <w:rPr>
          <w:rFonts w:ascii="Arial" w:hAnsi="Arial" w:cs="Arial"/>
          <w:sz w:val="24"/>
          <w:szCs w:val="24"/>
        </w:rPr>
        <w:lastRenderedPageBreak/>
        <w:t>Wadium ulega przepadkowi w razie uchylenia się uczestnika, który przetarg wygra, od zawarcia umowy sprzedaży.</w:t>
      </w:r>
    </w:p>
    <w:p w14:paraId="27D019B4" w14:textId="77777777" w:rsidR="005D5FEF" w:rsidRPr="001905E5" w:rsidRDefault="005D5FEF" w:rsidP="001905E5">
      <w:pPr>
        <w:shd w:val="clear" w:color="auto" w:fill="FFFFFF"/>
        <w:tabs>
          <w:tab w:val="left" w:pos="0"/>
        </w:tabs>
        <w:spacing w:line="360" w:lineRule="auto"/>
        <w:ind w:right="11"/>
        <w:rPr>
          <w:rFonts w:ascii="Arial" w:hAnsi="Arial" w:cs="Arial"/>
          <w:bCs/>
          <w:sz w:val="24"/>
          <w:szCs w:val="24"/>
        </w:rPr>
      </w:pPr>
      <w:r w:rsidRPr="001905E5">
        <w:rPr>
          <w:rFonts w:ascii="Arial" w:hAnsi="Arial" w:cs="Arial"/>
          <w:bCs/>
          <w:spacing w:val="-10"/>
          <w:sz w:val="24"/>
          <w:szCs w:val="24"/>
        </w:rPr>
        <w:t>1</w:t>
      </w:r>
      <w:r w:rsidR="00E90247">
        <w:rPr>
          <w:rFonts w:ascii="Arial" w:hAnsi="Arial" w:cs="Arial"/>
          <w:bCs/>
          <w:spacing w:val="-10"/>
          <w:sz w:val="24"/>
          <w:szCs w:val="24"/>
        </w:rPr>
        <w:t>4</w:t>
      </w:r>
      <w:r w:rsidRPr="001905E5">
        <w:rPr>
          <w:rFonts w:ascii="Arial" w:hAnsi="Arial" w:cs="Arial"/>
          <w:bCs/>
          <w:spacing w:val="-10"/>
          <w:sz w:val="24"/>
          <w:szCs w:val="24"/>
        </w:rPr>
        <w:t xml:space="preserve">. </w:t>
      </w:r>
      <w:r w:rsidRPr="001905E5">
        <w:rPr>
          <w:rFonts w:ascii="Arial" w:hAnsi="Arial" w:cs="Arial"/>
          <w:bCs/>
          <w:sz w:val="24"/>
          <w:szCs w:val="24"/>
        </w:rPr>
        <w:t>W przetargu mogą brać udział osoby fizyczne i prawne, które złożą zgłoszenie do udziału w przetargu wraz z wymaganymi dokumentami wynikającymi z regulaminu przetargu (zgłoszenie udziału w przetargu stanowi załącznik do niniejszego ogłoszenia) oraz terminowo wpłacą wadium.</w:t>
      </w:r>
    </w:p>
    <w:p w14:paraId="7576DC2A" w14:textId="77777777" w:rsidR="005D5FEF" w:rsidRPr="001905E5" w:rsidRDefault="005D5FEF" w:rsidP="001905E5">
      <w:pPr>
        <w:shd w:val="clear" w:color="auto" w:fill="FFFFFF"/>
        <w:tabs>
          <w:tab w:val="left" w:pos="0"/>
        </w:tabs>
        <w:spacing w:line="360" w:lineRule="auto"/>
        <w:ind w:right="10"/>
        <w:rPr>
          <w:rFonts w:ascii="Arial" w:hAnsi="Arial" w:cs="Arial"/>
          <w:bCs/>
          <w:sz w:val="24"/>
          <w:szCs w:val="24"/>
        </w:rPr>
      </w:pPr>
      <w:r w:rsidRPr="001905E5">
        <w:rPr>
          <w:rFonts w:ascii="Arial" w:hAnsi="Arial" w:cs="Arial"/>
          <w:bCs/>
          <w:sz w:val="24"/>
          <w:szCs w:val="24"/>
        </w:rPr>
        <w:t xml:space="preserve">Zgłoszenie udziału w przetargu, wraz z wymaganymi załącznikami, winno być złożone w formie pisemnej do dnia </w:t>
      </w:r>
      <w:r w:rsidR="00E90247">
        <w:rPr>
          <w:rFonts w:ascii="Arial" w:hAnsi="Arial" w:cs="Arial"/>
          <w:bCs/>
          <w:sz w:val="24"/>
          <w:szCs w:val="24"/>
        </w:rPr>
        <w:t>21 czerwca</w:t>
      </w:r>
      <w:r w:rsidRPr="001905E5">
        <w:rPr>
          <w:rFonts w:ascii="Arial" w:hAnsi="Arial" w:cs="Arial"/>
          <w:bCs/>
          <w:sz w:val="24"/>
          <w:szCs w:val="24"/>
        </w:rPr>
        <w:t xml:space="preserve"> 202</w:t>
      </w:r>
      <w:r w:rsidR="008307D1" w:rsidRPr="001905E5">
        <w:rPr>
          <w:rFonts w:ascii="Arial" w:hAnsi="Arial" w:cs="Arial"/>
          <w:bCs/>
          <w:sz w:val="24"/>
          <w:szCs w:val="24"/>
        </w:rPr>
        <w:t>1</w:t>
      </w:r>
      <w:r w:rsidRPr="001905E5">
        <w:rPr>
          <w:rFonts w:ascii="Arial" w:hAnsi="Arial" w:cs="Arial"/>
          <w:bCs/>
          <w:sz w:val="24"/>
          <w:szCs w:val="24"/>
        </w:rPr>
        <w:t xml:space="preserve"> r. włącznie do godz. 15</w:t>
      </w:r>
      <w:r w:rsidR="009069E6">
        <w:rPr>
          <w:rFonts w:ascii="Arial" w:hAnsi="Arial" w:cs="Arial"/>
          <w:bCs/>
          <w:sz w:val="24"/>
          <w:szCs w:val="24"/>
        </w:rPr>
        <w:t>.</w:t>
      </w:r>
      <w:r w:rsidRPr="009069E6">
        <w:rPr>
          <w:rFonts w:ascii="Arial" w:hAnsi="Arial" w:cs="Arial"/>
          <w:bCs/>
          <w:sz w:val="24"/>
          <w:szCs w:val="24"/>
        </w:rPr>
        <w:t>00</w:t>
      </w:r>
      <w:r w:rsidRPr="001905E5">
        <w:rPr>
          <w:rFonts w:ascii="Arial" w:hAnsi="Arial" w:cs="Arial"/>
          <w:bCs/>
          <w:sz w:val="24"/>
          <w:szCs w:val="24"/>
        </w:rPr>
        <w:t>:</w:t>
      </w:r>
    </w:p>
    <w:p w14:paraId="6BE925ED" w14:textId="77777777" w:rsidR="005D5FEF" w:rsidRPr="001905E5" w:rsidRDefault="005D5FEF" w:rsidP="009069E6">
      <w:pPr>
        <w:pStyle w:val="Akapitzlist"/>
        <w:numPr>
          <w:ilvl w:val="0"/>
          <w:numId w:val="7"/>
        </w:numPr>
        <w:shd w:val="clear" w:color="auto" w:fill="FFFFFF"/>
        <w:tabs>
          <w:tab w:val="left" w:pos="0"/>
          <w:tab w:val="left" w:pos="426"/>
        </w:tabs>
        <w:spacing w:after="0" w:line="360" w:lineRule="auto"/>
        <w:ind w:left="0" w:right="10" w:firstLine="0"/>
        <w:rPr>
          <w:rFonts w:ascii="Arial" w:hAnsi="Arial" w:cs="Arial"/>
          <w:bCs/>
          <w:sz w:val="24"/>
          <w:szCs w:val="24"/>
        </w:rPr>
      </w:pPr>
      <w:r w:rsidRPr="001905E5">
        <w:rPr>
          <w:rFonts w:ascii="Arial" w:hAnsi="Arial" w:cs="Arial"/>
          <w:bCs/>
          <w:sz w:val="24"/>
          <w:szCs w:val="24"/>
        </w:rPr>
        <w:t>osobiście: w siedzibie Urzędu Miasta Piotrkowa Trybunalskiego ul. Szkolna 28 – Referat Gospodarki Nieruchomościami, pokój 305;</w:t>
      </w:r>
    </w:p>
    <w:p w14:paraId="6A60D9E0" w14:textId="77777777" w:rsidR="005D5FEF" w:rsidRPr="001905E5" w:rsidRDefault="005D5FEF" w:rsidP="009069E6">
      <w:pPr>
        <w:pStyle w:val="Akapitzlist"/>
        <w:shd w:val="clear" w:color="auto" w:fill="FFFFFF"/>
        <w:tabs>
          <w:tab w:val="left" w:pos="0"/>
        </w:tabs>
        <w:spacing w:line="360" w:lineRule="auto"/>
        <w:ind w:left="0" w:right="10"/>
        <w:rPr>
          <w:rFonts w:ascii="Arial" w:hAnsi="Arial" w:cs="Arial"/>
          <w:bCs/>
          <w:sz w:val="24"/>
          <w:szCs w:val="24"/>
        </w:rPr>
      </w:pPr>
      <w:r w:rsidRPr="001905E5">
        <w:rPr>
          <w:rFonts w:ascii="Arial" w:hAnsi="Arial" w:cs="Arial"/>
          <w:bCs/>
          <w:sz w:val="24"/>
          <w:szCs w:val="24"/>
        </w:rPr>
        <w:t>albo</w:t>
      </w:r>
    </w:p>
    <w:p w14:paraId="20934C0E" w14:textId="77777777" w:rsidR="005D5FEF" w:rsidRPr="001905E5" w:rsidRDefault="005D5FEF" w:rsidP="009069E6">
      <w:pPr>
        <w:pStyle w:val="Akapitzlist"/>
        <w:numPr>
          <w:ilvl w:val="0"/>
          <w:numId w:val="7"/>
        </w:numPr>
        <w:shd w:val="clear" w:color="auto" w:fill="FFFFFF"/>
        <w:tabs>
          <w:tab w:val="left" w:pos="0"/>
          <w:tab w:val="left" w:pos="567"/>
        </w:tabs>
        <w:spacing w:after="0" w:line="360" w:lineRule="auto"/>
        <w:ind w:left="0" w:right="11" w:firstLine="0"/>
        <w:rPr>
          <w:rFonts w:ascii="Arial" w:hAnsi="Arial" w:cs="Arial"/>
          <w:sz w:val="24"/>
          <w:szCs w:val="24"/>
        </w:rPr>
      </w:pPr>
      <w:r w:rsidRPr="001905E5">
        <w:rPr>
          <w:rFonts w:ascii="Arial" w:hAnsi="Arial" w:cs="Arial"/>
          <w:bCs/>
          <w:sz w:val="24"/>
          <w:szCs w:val="24"/>
        </w:rPr>
        <w:t xml:space="preserve">przesyłką pocztową lub przesyłką kurierską – w takim przypadku </w:t>
      </w:r>
      <w:r w:rsidRPr="001905E5">
        <w:rPr>
          <w:rFonts w:ascii="Arial" w:hAnsi="Arial" w:cs="Arial"/>
          <w:sz w:val="24"/>
          <w:szCs w:val="24"/>
        </w:rPr>
        <w:t xml:space="preserve">Zgłoszenie należy złożyć w zaklejonej kopercie, teczce lub paczce z podaną nazwą i adresem Zgłaszającego, z dopiskiem: „Zgłoszenie udziału w </w:t>
      </w:r>
      <w:r w:rsidR="00E90247">
        <w:rPr>
          <w:rFonts w:ascii="Arial" w:hAnsi="Arial" w:cs="Arial"/>
          <w:sz w:val="24"/>
          <w:szCs w:val="24"/>
        </w:rPr>
        <w:t>drugim</w:t>
      </w:r>
      <w:r w:rsidRPr="001905E5">
        <w:rPr>
          <w:rFonts w:ascii="Arial" w:hAnsi="Arial" w:cs="Arial"/>
          <w:sz w:val="24"/>
          <w:szCs w:val="24"/>
        </w:rPr>
        <w:t xml:space="preserve"> ustnym przetargu nieograniczonym na sprzedaż niezabudowanej nieruchomości położonej w Piotrkowie Trybunalskim przy </w:t>
      </w:r>
      <w:r w:rsidR="009069E6">
        <w:rPr>
          <w:rFonts w:ascii="Arial" w:hAnsi="Arial" w:cs="Arial"/>
          <w:sz w:val="24"/>
          <w:szCs w:val="24"/>
        </w:rPr>
        <w:t>ul. Rolniczej – działki n</w:t>
      </w:r>
      <w:r w:rsidR="00E50C5D" w:rsidRPr="001905E5">
        <w:rPr>
          <w:rFonts w:ascii="Arial" w:hAnsi="Arial" w:cs="Arial"/>
          <w:sz w:val="24"/>
          <w:szCs w:val="24"/>
        </w:rPr>
        <w:t>umer:</w:t>
      </w:r>
      <w:r w:rsidR="00E90247">
        <w:rPr>
          <w:rFonts w:ascii="Arial" w:hAnsi="Arial" w:cs="Arial"/>
          <w:sz w:val="24"/>
          <w:szCs w:val="24"/>
        </w:rPr>
        <w:t>__________________</w:t>
      </w:r>
      <w:r w:rsidRPr="001905E5">
        <w:rPr>
          <w:rFonts w:ascii="Arial" w:eastAsia="MS Mincho" w:hAnsi="Arial" w:cs="Arial"/>
          <w:sz w:val="24"/>
          <w:szCs w:val="24"/>
        </w:rPr>
        <w:t>”.</w:t>
      </w:r>
    </w:p>
    <w:p w14:paraId="4DD97B38" w14:textId="77777777" w:rsidR="005D5FEF" w:rsidRPr="001905E5" w:rsidRDefault="005D5FEF" w:rsidP="001905E5">
      <w:pPr>
        <w:shd w:val="clear" w:color="auto" w:fill="FFFFFF"/>
        <w:tabs>
          <w:tab w:val="left" w:pos="0"/>
        </w:tabs>
        <w:spacing w:line="360" w:lineRule="auto"/>
        <w:ind w:right="11"/>
        <w:rPr>
          <w:rFonts w:ascii="Arial" w:hAnsi="Arial" w:cs="Arial"/>
          <w:bCs/>
          <w:sz w:val="24"/>
          <w:szCs w:val="24"/>
        </w:rPr>
      </w:pPr>
      <w:r w:rsidRPr="001905E5">
        <w:rPr>
          <w:rFonts w:ascii="Arial" w:hAnsi="Arial" w:cs="Arial"/>
          <w:bCs/>
          <w:sz w:val="24"/>
          <w:szCs w:val="24"/>
        </w:rPr>
        <w:t>Za termin dostarczenia (złożenia) należy rozumieć datę i godzinę wpływu do miejsca oznaczonego przez organizatora przetargu jako miejsce składania zgłoszenia.</w:t>
      </w:r>
    </w:p>
    <w:p w14:paraId="2B58EDC9" w14:textId="77777777" w:rsidR="005D5FEF" w:rsidRPr="001905E5" w:rsidRDefault="005D5FEF" w:rsidP="001905E5">
      <w:pPr>
        <w:shd w:val="clear" w:color="auto" w:fill="FFFFFF"/>
        <w:tabs>
          <w:tab w:val="left" w:pos="0"/>
        </w:tabs>
        <w:spacing w:line="360" w:lineRule="auto"/>
        <w:ind w:right="11"/>
        <w:rPr>
          <w:rFonts w:ascii="Arial" w:hAnsi="Arial" w:cs="Arial"/>
          <w:sz w:val="24"/>
          <w:szCs w:val="24"/>
        </w:rPr>
      </w:pPr>
      <w:r w:rsidRPr="001905E5">
        <w:rPr>
          <w:rFonts w:ascii="Arial" w:hAnsi="Arial" w:cs="Arial"/>
          <w:sz w:val="24"/>
          <w:szCs w:val="24"/>
        </w:rPr>
        <w:t>Organizator przetargu nie ponosi odpowiedzialności za zdarzenia wynikające z nieprawidłowego opakowania lub braku na opakowaniu którejkolwiek z wyżej wymienionych informacji.</w:t>
      </w:r>
    </w:p>
    <w:p w14:paraId="0DA6F4B7" w14:textId="77777777" w:rsidR="005D5FEF" w:rsidRPr="001905E5" w:rsidRDefault="005D5FEF" w:rsidP="001905E5">
      <w:pPr>
        <w:shd w:val="clear" w:color="auto" w:fill="FFFFFF"/>
        <w:tabs>
          <w:tab w:val="left" w:pos="0"/>
        </w:tabs>
        <w:spacing w:line="360" w:lineRule="auto"/>
        <w:rPr>
          <w:rFonts w:ascii="Arial" w:hAnsi="Arial" w:cs="Arial"/>
          <w:sz w:val="24"/>
          <w:szCs w:val="24"/>
        </w:rPr>
      </w:pPr>
      <w:r w:rsidRPr="001905E5">
        <w:rPr>
          <w:rFonts w:ascii="Arial" w:hAnsi="Arial" w:cs="Arial"/>
          <w:sz w:val="24"/>
          <w:szCs w:val="24"/>
        </w:rPr>
        <w:t>1</w:t>
      </w:r>
      <w:r w:rsidR="00E90247">
        <w:rPr>
          <w:rFonts w:ascii="Arial" w:hAnsi="Arial" w:cs="Arial"/>
          <w:sz w:val="24"/>
          <w:szCs w:val="24"/>
        </w:rPr>
        <w:t>5</w:t>
      </w:r>
      <w:r w:rsidRPr="001905E5">
        <w:rPr>
          <w:rFonts w:ascii="Arial" w:hAnsi="Arial" w:cs="Arial"/>
          <w:sz w:val="24"/>
          <w:szCs w:val="24"/>
        </w:rPr>
        <w:t>. Prezydent Miasta Piotrkowa Trybunalskiego zastrzega sobie prawo odwołania przetargu, z ważnych powodów, zgodnie z art. 38 ust. 4 ustawy z dnia 21 sierpnia 1997 r. o gospodarce nieruchomościami, o czym poinformuje niezwłocznie podając do publicznej wiadomości informację o odwołaniu przetargu poprzez wywieszenie na tablicy ogłoszeń w siedzibie Urzędu Miasta, zamieszczenie ogłoszenia w prasie, a także na stronie internetowej.</w:t>
      </w:r>
    </w:p>
    <w:p w14:paraId="5906C8E6" w14:textId="77777777" w:rsidR="009069E6" w:rsidRDefault="00E90247" w:rsidP="009069E6">
      <w:pPr>
        <w:shd w:val="clear" w:color="auto" w:fill="FFFFFF"/>
        <w:tabs>
          <w:tab w:val="left" w:pos="0"/>
        </w:tabs>
        <w:spacing w:line="360" w:lineRule="auto"/>
        <w:ind w:right="17"/>
        <w:rPr>
          <w:rFonts w:ascii="Arial" w:hAnsi="Arial" w:cs="Arial"/>
          <w:sz w:val="24"/>
          <w:szCs w:val="24"/>
        </w:rPr>
      </w:pPr>
      <w:r>
        <w:rPr>
          <w:rFonts w:ascii="Arial" w:hAnsi="Arial" w:cs="Arial"/>
          <w:sz w:val="24"/>
          <w:szCs w:val="24"/>
        </w:rPr>
        <w:t>16</w:t>
      </w:r>
      <w:r w:rsidR="005D5FEF" w:rsidRPr="001905E5">
        <w:rPr>
          <w:rFonts w:ascii="Arial" w:hAnsi="Arial" w:cs="Arial"/>
          <w:sz w:val="24"/>
          <w:szCs w:val="24"/>
        </w:rPr>
        <w:t xml:space="preserve">. Koszty notarialne i opłaty sądowe wynikające ze sporządzenia umowy przenoszącej własność, ponosi nabywca nieruchomości. </w:t>
      </w:r>
    </w:p>
    <w:p w14:paraId="74561723" w14:textId="77777777" w:rsidR="005D5FEF" w:rsidRPr="001905E5" w:rsidRDefault="005D5FEF" w:rsidP="009069E6">
      <w:pPr>
        <w:shd w:val="clear" w:color="auto" w:fill="FFFFFF"/>
        <w:tabs>
          <w:tab w:val="left" w:pos="0"/>
        </w:tabs>
        <w:spacing w:line="360" w:lineRule="auto"/>
        <w:ind w:right="17"/>
        <w:rPr>
          <w:rFonts w:ascii="Arial" w:eastAsia="Times New Roman" w:hAnsi="Arial" w:cs="Arial"/>
          <w:sz w:val="24"/>
          <w:szCs w:val="24"/>
        </w:rPr>
      </w:pPr>
      <w:r w:rsidRPr="001905E5">
        <w:rPr>
          <w:rFonts w:ascii="Arial" w:hAnsi="Arial" w:cs="Arial"/>
          <w:sz w:val="24"/>
          <w:szCs w:val="24"/>
        </w:rPr>
        <w:t>1</w:t>
      </w:r>
      <w:r w:rsidR="00E90247">
        <w:rPr>
          <w:rFonts w:ascii="Arial" w:hAnsi="Arial" w:cs="Arial"/>
          <w:sz w:val="24"/>
          <w:szCs w:val="24"/>
        </w:rPr>
        <w:t>7</w:t>
      </w:r>
      <w:r w:rsidRPr="001905E5">
        <w:rPr>
          <w:rFonts w:ascii="Arial" w:hAnsi="Arial" w:cs="Arial"/>
          <w:sz w:val="24"/>
          <w:szCs w:val="24"/>
        </w:rPr>
        <w:t xml:space="preserve">. Zawarcie aktu notarialnego nastąpi w uzgodnionym z kandydatem na nabywcę nieruchomości terminie, nie później </w:t>
      </w:r>
      <w:r w:rsidR="009069E6">
        <w:rPr>
          <w:rFonts w:ascii="Arial" w:hAnsi="Arial" w:cs="Arial"/>
          <w:sz w:val="24"/>
          <w:szCs w:val="24"/>
        </w:rPr>
        <w:t>j</w:t>
      </w:r>
      <w:r w:rsidRPr="001905E5">
        <w:rPr>
          <w:rFonts w:ascii="Arial" w:hAnsi="Arial" w:cs="Arial"/>
          <w:sz w:val="24"/>
          <w:szCs w:val="24"/>
        </w:rPr>
        <w:t>ednak niż w terminie 60 dni kalendarzowych od daty rozstrzygnięcia przetargu.</w:t>
      </w:r>
    </w:p>
    <w:p w14:paraId="25C29606" w14:textId="77777777" w:rsidR="005D5FEF" w:rsidRPr="001905E5" w:rsidRDefault="005D5FEF" w:rsidP="001905E5">
      <w:pPr>
        <w:spacing w:line="360" w:lineRule="auto"/>
        <w:rPr>
          <w:rFonts w:ascii="Arial" w:hAnsi="Arial" w:cs="Arial"/>
          <w:sz w:val="24"/>
          <w:szCs w:val="24"/>
        </w:rPr>
      </w:pPr>
      <w:r w:rsidRPr="001905E5">
        <w:rPr>
          <w:rFonts w:ascii="Arial" w:hAnsi="Arial" w:cs="Arial"/>
          <w:sz w:val="24"/>
          <w:szCs w:val="24"/>
        </w:rPr>
        <w:lastRenderedPageBreak/>
        <w:t>Organizator przetargu zawiadomi osobę ustaloną, jako nabywcę nieruchomości o miejscu i terminie zawarcia umowy notarialnej, najpóźniej w ciągu 21 dni od dnia rozstrzygnięcia przetargu. Wyznaczony termin nie może być krótszy niż 7 dni od dnia doręczenia zawiadomienia.</w:t>
      </w:r>
    </w:p>
    <w:p w14:paraId="350224D8" w14:textId="77777777" w:rsidR="005D5FEF" w:rsidRPr="001905E5" w:rsidRDefault="009069E6" w:rsidP="001905E5">
      <w:pPr>
        <w:spacing w:line="360" w:lineRule="auto"/>
        <w:rPr>
          <w:rFonts w:ascii="Arial" w:hAnsi="Arial" w:cs="Arial"/>
          <w:sz w:val="24"/>
          <w:szCs w:val="24"/>
        </w:rPr>
      </w:pPr>
      <w:r>
        <w:rPr>
          <w:rFonts w:ascii="Arial" w:hAnsi="Arial" w:cs="Arial"/>
          <w:sz w:val="24"/>
          <w:szCs w:val="24"/>
        </w:rPr>
        <w:t>J</w:t>
      </w:r>
      <w:r w:rsidR="005D5FEF" w:rsidRPr="001905E5">
        <w:rPr>
          <w:rFonts w:ascii="Arial" w:hAnsi="Arial" w:cs="Arial"/>
          <w:sz w:val="24"/>
          <w:szCs w:val="24"/>
        </w:rPr>
        <w:t>eżeli osoba ustalona jako nabywca nieruchomości nie przystąpi bez usprawiedliwienia do zawarcia umowy w miejscu i</w:t>
      </w:r>
      <w:r>
        <w:rPr>
          <w:rFonts w:ascii="Arial" w:hAnsi="Arial" w:cs="Arial"/>
          <w:sz w:val="24"/>
          <w:szCs w:val="24"/>
        </w:rPr>
        <w:t xml:space="preserve"> </w:t>
      </w:r>
      <w:r w:rsidR="005D5FEF" w:rsidRPr="001905E5">
        <w:rPr>
          <w:rFonts w:ascii="Arial" w:hAnsi="Arial" w:cs="Arial"/>
          <w:sz w:val="24"/>
          <w:szCs w:val="24"/>
        </w:rPr>
        <w:t>w terminie podanych w zawiadomieniu, organizator przetargu może odstąpić od zawarcia umowy, a wpłacone wadium nie podlega zwrotowi.</w:t>
      </w:r>
    </w:p>
    <w:p w14:paraId="2E4C42F1" w14:textId="77777777" w:rsidR="00526FE2" w:rsidRPr="001905E5" w:rsidRDefault="00526FE2" w:rsidP="001905E5">
      <w:pPr>
        <w:pStyle w:val="Zwykytekst"/>
        <w:spacing w:line="360" w:lineRule="auto"/>
        <w:rPr>
          <w:rFonts w:ascii="Arial" w:eastAsia="MS Mincho" w:hAnsi="Arial" w:cs="Arial"/>
          <w:sz w:val="24"/>
          <w:szCs w:val="24"/>
        </w:rPr>
      </w:pPr>
    </w:p>
    <w:p w14:paraId="3EB0F48A" w14:textId="77777777" w:rsidR="00B2765F" w:rsidRPr="001905E5" w:rsidRDefault="00251BFD" w:rsidP="001905E5">
      <w:pPr>
        <w:pStyle w:val="Zwykytekst"/>
        <w:spacing w:line="360" w:lineRule="auto"/>
        <w:rPr>
          <w:rFonts w:ascii="Arial" w:eastAsia="MS Mincho" w:hAnsi="Arial" w:cs="Arial"/>
          <w:sz w:val="24"/>
          <w:szCs w:val="24"/>
        </w:rPr>
      </w:pPr>
      <w:r w:rsidRPr="001905E5">
        <w:rPr>
          <w:rFonts w:ascii="Arial" w:eastAsia="MS Mincho" w:hAnsi="Arial" w:cs="Arial"/>
          <w:sz w:val="24"/>
          <w:szCs w:val="24"/>
        </w:rPr>
        <w:t xml:space="preserve">Ogłoszenie niniejsze podlega wywieszeniu na tablicach ogłoszeń Urzędu Miasta Piotrkowa Trybunalskiego, zamieszcza się na stronie internetowej Urzędu Miasta </w:t>
      </w:r>
      <w:hyperlink r:id="rId5" w:history="1">
        <w:r w:rsidRPr="001905E5">
          <w:rPr>
            <w:rStyle w:val="Hipercze"/>
            <w:rFonts w:ascii="Arial" w:hAnsi="Arial" w:cs="Arial"/>
            <w:color w:val="000000"/>
            <w:sz w:val="24"/>
            <w:szCs w:val="24"/>
            <w:u w:val="none"/>
          </w:rPr>
          <w:t>www.piotrkow.pl</w:t>
        </w:r>
      </w:hyperlink>
      <w:r w:rsidRPr="001905E5">
        <w:rPr>
          <w:rFonts w:ascii="Arial" w:eastAsia="MS Mincho" w:hAnsi="Arial" w:cs="Arial"/>
          <w:sz w:val="24"/>
          <w:szCs w:val="24"/>
        </w:rPr>
        <w:t xml:space="preserve">, i w Biuletynie </w:t>
      </w:r>
      <w:r w:rsidRPr="001905E5">
        <w:rPr>
          <w:rFonts w:ascii="Arial" w:eastAsia="MS Mincho" w:hAnsi="Arial" w:cs="Arial"/>
          <w:color w:val="000000"/>
          <w:sz w:val="24"/>
          <w:szCs w:val="24"/>
        </w:rPr>
        <w:t xml:space="preserve">Informacji Publicznej </w:t>
      </w:r>
      <w:hyperlink r:id="rId6" w:history="1">
        <w:r w:rsidRPr="001905E5">
          <w:rPr>
            <w:rStyle w:val="Hipercze"/>
            <w:rFonts w:ascii="Arial" w:hAnsi="Arial" w:cs="Arial"/>
            <w:color w:val="000000"/>
            <w:sz w:val="24"/>
            <w:szCs w:val="24"/>
            <w:u w:val="none"/>
          </w:rPr>
          <w:t>www.bip.piotrkow.pl</w:t>
        </w:r>
      </w:hyperlink>
      <w:r w:rsidRPr="001905E5">
        <w:rPr>
          <w:rFonts w:ascii="Arial" w:hAnsi="Arial" w:cs="Arial"/>
          <w:sz w:val="24"/>
          <w:szCs w:val="24"/>
        </w:rPr>
        <w:t xml:space="preserve"> w zakładce: gospodarka nieruchomościami </w:t>
      </w:r>
      <w:r w:rsidR="009069E6">
        <w:rPr>
          <w:rFonts w:ascii="Arial" w:hAnsi="Arial" w:cs="Arial"/>
          <w:sz w:val="24"/>
          <w:szCs w:val="24"/>
        </w:rPr>
        <w:t>-</w:t>
      </w:r>
      <w:r w:rsidRPr="001905E5">
        <w:rPr>
          <w:rFonts w:ascii="Arial" w:hAnsi="Arial" w:cs="Arial"/>
          <w:sz w:val="24"/>
          <w:szCs w:val="24"/>
        </w:rPr>
        <w:t xml:space="preserve"> ogłoszenia przetargów I półrocze 202</w:t>
      </w:r>
      <w:r w:rsidR="008307D1" w:rsidRPr="001905E5">
        <w:rPr>
          <w:rFonts w:ascii="Arial" w:hAnsi="Arial" w:cs="Arial"/>
          <w:sz w:val="24"/>
          <w:szCs w:val="24"/>
        </w:rPr>
        <w:t>1</w:t>
      </w:r>
      <w:r w:rsidRPr="001905E5">
        <w:rPr>
          <w:rFonts w:ascii="Arial" w:hAnsi="Arial" w:cs="Arial"/>
          <w:sz w:val="24"/>
          <w:szCs w:val="24"/>
        </w:rPr>
        <w:t xml:space="preserve"> r.</w:t>
      </w:r>
      <w:r w:rsidRPr="001905E5">
        <w:rPr>
          <w:rFonts w:ascii="Arial" w:hAnsi="Arial" w:cs="Arial"/>
          <w:color w:val="000000"/>
          <w:sz w:val="24"/>
          <w:szCs w:val="24"/>
        </w:rPr>
        <w:t xml:space="preserve">, </w:t>
      </w:r>
      <w:r w:rsidR="00B2765F" w:rsidRPr="001905E5">
        <w:rPr>
          <w:rFonts w:ascii="Arial" w:eastAsia="MS Mincho" w:hAnsi="Arial" w:cs="Arial"/>
          <w:sz w:val="24"/>
          <w:szCs w:val="24"/>
        </w:rPr>
        <w:t xml:space="preserve">a wyciąg z ogłoszenia o przetargu </w:t>
      </w:r>
      <w:r w:rsidR="00B2765F" w:rsidRPr="001905E5">
        <w:rPr>
          <w:rFonts w:ascii="Arial" w:hAnsi="Arial" w:cs="Arial"/>
          <w:sz w:val="24"/>
          <w:szCs w:val="24"/>
        </w:rPr>
        <w:t>podany zostanie do publicznej wiadomości w prasie</w:t>
      </w:r>
      <w:r w:rsidR="00B2765F" w:rsidRPr="001905E5">
        <w:rPr>
          <w:rFonts w:ascii="Arial" w:eastAsia="MS Mincho" w:hAnsi="Arial" w:cs="Arial"/>
          <w:sz w:val="24"/>
          <w:szCs w:val="24"/>
        </w:rPr>
        <w:t xml:space="preserve"> o zasięgu obejmującym co najmniej powiat, na terenie którego położona jest nieruchomość.</w:t>
      </w:r>
    </w:p>
    <w:p w14:paraId="25A21592" w14:textId="77777777" w:rsidR="00B2765F" w:rsidRPr="001905E5" w:rsidRDefault="00B2765F" w:rsidP="001905E5">
      <w:pPr>
        <w:spacing w:line="360" w:lineRule="auto"/>
        <w:rPr>
          <w:rFonts w:ascii="Arial" w:hAnsi="Arial" w:cs="Arial"/>
          <w:sz w:val="24"/>
          <w:szCs w:val="24"/>
        </w:rPr>
      </w:pPr>
    </w:p>
    <w:p w14:paraId="562247CC" w14:textId="77777777" w:rsidR="005D5FEF" w:rsidRPr="001905E5" w:rsidRDefault="005D5FEF" w:rsidP="001905E5">
      <w:pPr>
        <w:spacing w:line="360" w:lineRule="auto"/>
        <w:rPr>
          <w:rFonts w:ascii="Arial" w:hAnsi="Arial" w:cs="Arial"/>
          <w:sz w:val="24"/>
          <w:szCs w:val="24"/>
        </w:rPr>
      </w:pPr>
      <w:r w:rsidRPr="001905E5">
        <w:rPr>
          <w:rFonts w:ascii="Arial" w:hAnsi="Arial" w:cs="Arial"/>
          <w:sz w:val="24"/>
          <w:szCs w:val="24"/>
        </w:rPr>
        <w:t xml:space="preserve">Regulamin przetargu znajduje się do wglądu w Referacie Gospodarki Nieruchomościami Urzędu Miasta Piotrkowa Trybunalskiego ul. Szkolna 28 pokój 305 oraz </w:t>
      </w:r>
      <w:r w:rsidRPr="001905E5">
        <w:rPr>
          <w:rFonts w:ascii="Arial" w:eastAsia="MS Mincho" w:hAnsi="Arial" w:cs="Arial"/>
          <w:sz w:val="24"/>
          <w:szCs w:val="24"/>
        </w:rPr>
        <w:t xml:space="preserve">opublikowany jest </w:t>
      </w:r>
      <w:r w:rsidRPr="001905E5">
        <w:rPr>
          <w:rFonts w:ascii="Arial" w:hAnsi="Arial" w:cs="Arial"/>
          <w:sz w:val="24"/>
          <w:szCs w:val="24"/>
        </w:rPr>
        <w:t xml:space="preserve">na stronie internetowej Urzędu Miasta </w:t>
      </w:r>
      <w:r w:rsidRPr="001905E5">
        <w:rPr>
          <w:rFonts w:ascii="Arial" w:eastAsia="MS Mincho" w:hAnsi="Arial" w:cs="Arial"/>
          <w:sz w:val="24"/>
          <w:szCs w:val="24"/>
        </w:rPr>
        <w:t xml:space="preserve">w Biuletynie Informacji Publicznej zakładka: Prawo lokalne </w:t>
      </w:r>
      <w:r w:rsidR="009069E6">
        <w:rPr>
          <w:rFonts w:ascii="Arial" w:eastAsia="MS Mincho" w:hAnsi="Arial" w:cs="Arial"/>
          <w:sz w:val="24"/>
          <w:szCs w:val="24"/>
        </w:rPr>
        <w:t xml:space="preserve">- </w:t>
      </w:r>
      <w:r w:rsidRPr="001905E5">
        <w:rPr>
          <w:rFonts w:ascii="Arial" w:eastAsia="MS Mincho" w:hAnsi="Arial" w:cs="Arial"/>
          <w:sz w:val="24"/>
          <w:szCs w:val="24"/>
        </w:rPr>
        <w:t xml:space="preserve">Zarządzenia Prezydenta Miasta </w:t>
      </w:r>
      <w:r w:rsidR="009069E6">
        <w:rPr>
          <w:rFonts w:ascii="Arial" w:eastAsia="MS Mincho" w:hAnsi="Arial" w:cs="Arial"/>
          <w:sz w:val="24"/>
          <w:szCs w:val="24"/>
        </w:rPr>
        <w:t>-</w:t>
      </w:r>
      <w:r w:rsidRPr="001905E5">
        <w:rPr>
          <w:rFonts w:ascii="Arial" w:eastAsia="MS Mincho" w:hAnsi="Arial" w:cs="Arial"/>
          <w:sz w:val="24"/>
          <w:szCs w:val="24"/>
        </w:rPr>
        <w:t>202</w:t>
      </w:r>
      <w:r w:rsidR="008307D1" w:rsidRPr="001905E5">
        <w:rPr>
          <w:rFonts w:ascii="Arial" w:eastAsia="MS Mincho" w:hAnsi="Arial" w:cs="Arial"/>
          <w:sz w:val="24"/>
          <w:szCs w:val="24"/>
        </w:rPr>
        <w:t>1</w:t>
      </w:r>
      <w:r w:rsidRPr="001905E5">
        <w:rPr>
          <w:rFonts w:ascii="Arial" w:eastAsia="MS Mincho" w:hAnsi="Arial" w:cs="Arial"/>
          <w:sz w:val="24"/>
          <w:szCs w:val="24"/>
        </w:rPr>
        <w:t xml:space="preserve"> rok</w:t>
      </w:r>
      <w:r w:rsidR="009069E6">
        <w:rPr>
          <w:rFonts w:ascii="Arial" w:eastAsia="MS Mincho" w:hAnsi="Arial" w:cs="Arial"/>
          <w:sz w:val="24"/>
          <w:szCs w:val="24"/>
        </w:rPr>
        <w:t>-</w:t>
      </w:r>
      <w:r w:rsidRPr="001905E5">
        <w:rPr>
          <w:rFonts w:ascii="Arial" w:eastAsia="MS Mincho" w:hAnsi="Arial" w:cs="Arial"/>
          <w:sz w:val="24"/>
          <w:szCs w:val="24"/>
        </w:rPr>
        <w:t xml:space="preserve"> </w:t>
      </w:r>
      <w:r w:rsidR="00E90247">
        <w:rPr>
          <w:rFonts w:ascii="Arial" w:eastAsia="MS Mincho" w:hAnsi="Arial" w:cs="Arial"/>
          <w:sz w:val="24"/>
          <w:szCs w:val="24"/>
        </w:rPr>
        <w:t>I</w:t>
      </w:r>
      <w:r w:rsidRPr="001905E5">
        <w:rPr>
          <w:rFonts w:ascii="Arial" w:eastAsia="MS Mincho" w:hAnsi="Arial" w:cs="Arial"/>
          <w:sz w:val="24"/>
          <w:szCs w:val="24"/>
        </w:rPr>
        <w:t>I kwartał.</w:t>
      </w:r>
    </w:p>
    <w:p w14:paraId="7C293B11" w14:textId="77777777" w:rsidR="005D5FEF" w:rsidRDefault="005D5FEF" w:rsidP="001905E5">
      <w:pPr>
        <w:shd w:val="clear" w:color="auto" w:fill="FFFFFF"/>
        <w:tabs>
          <w:tab w:val="left" w:pos="0"/>
        </w:tabs>
        <w:spacing w:line="360" w:lineRule="auto"/>
        <w:ind w:right="19"/>
        <w:rPr>
          <w:rFonts w:ascii="Arial" w:hAnsi="Arial" w:cs="Arial"/>
          <w:sz w:val="24"/>
          <w:szCs w:val="24"/>
        </w:rPr>
      </w:pPr>
      <w:r w:rsidRPr="001905E5">
        <w:rPr>
          <w:rFonts w:ascii="Arial" w:hAnsi="Arial" w:cs="Arial"/>
          <w:spacing w:val="-1"/>
          <w:sz w:val="24"/>
          <w:szCs w:val="24"/>
        </w:rPr>
        <w:t xml:space="preserve">Informacji udziela się również telefonicznie pod numerem tel. /44/ 732-18-52 w godzinach </w:t>
      </w:r>
      <w:r w:rsidRPr="001905E5">
        <w:rPr>
          <w:rFonts w:ascii="Arial" w:hAnsi="Arial" w:cs="Arial"/>
          <w:sz w:val="24"/>
          <w:szCs w:val="24"/>
        </w:rPr>
        <w:t>7:30-15:30.</w:t>
      </w:r>
    </w:p>
    <w:p w14:paraId="54CBF2D6" w14:textId="77777777" w:rsidR="009069E6" w:rsidRDefault="009069E6" w:rsidP="009069E6">
      <w:pPr>
        <w:pStyle w:val="Zwykytekst"/>
        <w:spacing w:line="360" w:lineRule="auto"/>
        <w:jc w:val="both"/>
        <w:rPr>
          <w:rFonts w:ascii="Arial" w:eastAsia="MS Mincho" w:hAnsi="Arial" w:cs="Arial"/>
        </w:rPr>
      </w:pPr>
    </w:p>
    <w:p w14:paraId="2F2FD8BB" w14:textId="77777777" w:rsidR="009069E6" w:rsidRDefault="009069E6" w:rsidP="009069E6">
      <w:pPr>
        <w:pStyle w:val="Zwykytekst"/>
        <w:spacing w:line="360" w:lineRule="auto"/>
        <w:jc w:val="both"/>
        <w:rPr>
          <w:rFonts w:ascii="Arial" w:eastAsia="MS Mincho" w:hAnsi="Arial" w:cs="Arial"/>
        </w:rPr>
      </w:pPr>
    </w:p>
    <w:p w14:paraId="599A415E" w14:textId="77777777" w:rsidR="00E274B1" w:rsidRDefault="00E274B1" w:rsidP="00E274B1">
      <w:pPr>
        <w:pStyle w:val="Zwykytekst"/>
        <w:spacing w:line="360" w:lineRule="auto"/>
        <w:rPr>
          <w:rFonts w:ascii="Arial" w:eastAsia="MS Mincho" w:hAnsi="Arial" w:cs="Arial"/>
          <w:sz w:val="24"/>
          <w:szCs w:val="24"/>
        </w:rPr>
      </w:pPr>
      <w:r>
        <w:rPr>
          <w:rFonts w:ascii="Arial" w:eastAsia="MS Mincho" w:hAnsi="Arial" w:cs="Arial"/>
          <w:sz w:val="24"/>
          <w:szCs w:val="24"/>
        </w:rPr>
        <w:t xml:space="preserve">Z upoważnienia Prezydenta Miasta </w:t>
      </w:r>
    </w:p>
    <w:p w14:paraId="0DCA9F46" w14:textId="77777777" w:rsidR="00E274B1" w:rsidRDefault="00E274B1" w:rsidP="00E274B1">
      <w:pPr>
        <w:pStyle w:val="Zwykytekst"/>
        <w:spacing w:line="360" w:lineRule="auto"/>
        <w:rPr>
          <w:rFonts w:ascii="Arial" w:eastAsia="MS Mincho" w:hAnsi="Arial" w:cs="Arial"/>
          <w:sz w:val="24"/>
          <w:szCs w:val="24"/>
        </w:rPr>
      </w:pPr>
      <w:r>
        <w:rPr>
          <w:rFonts w:ascii="Arial" w:eastAsia="MS Mincho" w:hAnsi="Arial" w:cs="Arial"/>
          <w:sz w:val="24"/>
          <w:szCs w:val="24"/>
        </w:rPr>
        <w:t>(-)Andrzej Kacperek</w:t>
      </w:r>
    </w:p>
    <w:p w14:paraId="314CF807" w14:textId="77777777" w:rsidR="00E274B1" w:rsidRDefault="00E274B1" w:rsidP="00E274B1">
      <w:pPr>
        <w:pStyle w:val="Zwykytekst"/>
        <w:spacing w:line="360" w:lineRule="auto"/>
        <w:rPr>
          <w:rFonts w:ascii="Arial" w:eastAsia="MS Mincho" w:hAnsi="Arial" w:cs="Arial"/>
          <w:sz w:val="24"/>
          <w:szCs w:val="24"/>
        </w:rPr>
      </w:pPr>
      <w:r>
        <w:rPr>
          <w:rFonts w:ascii="Arial" w:eastAsia="MS Mincho" w:hAnsi="Arial" w:cs="Arial"/>
          <w:sz w:val="24"/>
          <w:szCs w:val="24"/>
        </w:rPr>
        <w:t>Wiceprezydent Miasta</w:t>
      </w:r>
    </w:p>
    <w:p w14:paraId="70D3F5D6" w14:textId="77777777" w:rsidR="00E274B1" w:rsidRDefault="00E274B1" w:rsidP="00E274B1">
      <w:pPr>
        <w:pStyle w:val="Zwykytekst"/>
        <w:spacing w:line="360" w:lineRule="auto"/>
        <w:jc w:val="both"/>
        <w:rPr>
          <w:rFonts w:ascii="Arial" w:eastAsia="MS Mincho" w:hAnsi="Arial" w:cs="Arial"/>
          <w:sz w:val="16"/>
          <w:szCs w:val="16"/>
        </w:rPr>
      </w:pPr>
      <w:r>
        <w:rPr>
          <w:rFonts w:ascii="Arial" w:eastAsia="MS Mincho" w:hAnsi="Arial" w:cs="Arial"/>
          <w:sz w:val="16"/>
          <w:szCs w:val="16"/>
        </w:rPr>
        <w:t>Dokument został podpisany kwalifikowanym podpisem elektronicznym</w:t>
      </w:r>
    </w:p>
    <w:p w14:paraId="0E8B1605" w14:textId="77777777" w:rsidR="009069E6" w:rsidRPr="001905E5" w:rsidRDefault="009069E6" w:rsidP="00E274B1">
      <w:pPr>
        <w:pStyle w:val="Zwykytekst"/>
        <w:spacing w:line="360" w:lineRule="auto"/>
        <w:jc w:val="both"/>
        <w:rPr>
          <w:rFonts w:ascii="Arial" w:hAnsi="Arial" w:cs="Arial"/>
          <w:sz w:val="24"/>
          <w:szCs w:val="24"/>
        </w:rPr>
      </w:pPr>
    </w:p>
    <w:sectPr w:rsidR="009069E6" w:rsidRPr="001905E5" w:rsidSect="009277F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EE"/>
    <w:family w:val="auto"/>
    <w:notTrueType/>
    <w:pitch w:val="default"/>
    <w:sig w:usb0="00000001"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029"/>
    <w:multiLevelType w:val="hybridMultilevel"/>
    <w:tmpl w:val="0450DF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271923"/>
    <w:multiLevelType w:val="hybridMultilevel"/>
    <w:tmpl w:val="E01AF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28142D"/>
    <w:multiLevelType w:val="hybridMultilevel"/>
    <w:tmpl w:val="76DAEAFC"/>
    <w:lvl w:ilvl="0" w:tplc="04150005">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313D2D83"/>
    <w:multiLevelType w:val="hybridMultilevel"/>
    <w:tmpl w:val="75E440DE"/>
    <w:lvl w:ilvl="0" w:tplc="0C86AEFC">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34317535"/>
    <w:multiLevelType w:val="hybridMultilevel"/>
    <w:tmpl w:val="95D22500"/>
    <w:lvl w:ilvl="0" w:tplc="0415000F">
      <w:start w:val="5"/>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 w15:restartNumberingAfterBreak="0">
    <w:nsid w:val="3EC97768"/>
    <w:multiLevelType w:val="hybridMultilevel"/>
    <w:tmpl w:val="2416A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B97336"/>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62F17972"/>
    <w:multiLevelType w:val="hybridMultilevel"/>
    <w:tmpl w:val="6114DB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C5677BD"/>
    <w:multiLevelType w:val="hybridMultilevel"/>
    <w:tmpl w:val="E51283E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78996A91"/>
    <w:multiLevelType w:val="hybridMultilevel"/>
    <w:tmpl w:val="88FC95A4"/>
    <w:lvl w:ilvl="0" w:tplc="BF7439A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8"/>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59"/>
    <w:rsid w:val="00005039"/>
    <w:rsid w:val="000B2DDB"/>
    <w:rsid w:val="000D0229"/>
    <w:rsid w:val="000D044C"/>
    <w:rsid w:val="000D578F"/>
    <w:rsid w:val="000E565D"/>
    <w:rsid w:val="00162353"/>
    <w:rsid w:val="001905E5"/>
    <w:rsid w:val="001C0B7C"/>
    <w:rsid w:val="00251BFD"/>
    <w:rsid w:val="00265691"/>
    <w:rsid w:val="00274D04"/>
    <w:rsid w:val="002B7871"/>
    <w:rsid w:val="002E79AE"/>
    <w:rsid w:val="003029E5"/>
    <w:rsid w:val="00333781"/>
    <w:rsid w:val="0038310A"/>
    <w:rsid w:val="00386D65"/>
    <w:rsid w:val="00391604"/>
    <w:rsid w:val="003A4564"/>
    <w:rsid w:val="003C1886"/>
    <w:rsid w:val="003E32AB"/>
    <w:rsid w:val="00410D11"/>
    <w:rsid w:val="00460456"/>
    <w:rsid w:val="004A5315"/>
    <w:rsid w:val="004B33F6"/>
    <w:rsid w:val="00501466"/>
    <w:rsid w:val="0051058A"/>
    <w:rsid w:val="00526FE2"/>
    <w:rsid w:val="005631F6"/>
    <w:rsid w:val="005D5FEF"/>
    <w:rsid w:val="00612349"/>
    <w:rsid w:val="00674259"/>
    <w:rsid w:val="006C0205"/>
    <w:rsid w:val="00720645"/>
    <w:rsid w:val="00790988"/>
    <w:rsid w:val="00795A96"/>
    <w:rsid w:val="00805049"/>
    <w:rsid w:val="0080757C"/>
    <w:rsid w:val="008307D1"/>
    <w:rsid w:val="008362AB"/>
    <w:rsid w:val="00842A36"/>
    <w:rsid w:val="008C24EA"/>
    <w:rsid w:val="008D3531"/>
    <w:rsid w:val="008D4EBE"/>
    <w:rsid w:val="008E15D1"/>
    <w:rsid w:val="008F6C65"/>
    <w:rsid w:val="009069E6"/>
    <w:rsid w:val="00921E23"/>
    <w:rsid w:val="009277F6"/>
    <w:rsid w:val="0095171E"/>
    <w:rsid w:val="00974DB8"/>
    <w:rsid w:val="009B796A"/>
    <w:rsid w:val="009C32A0"/>
    <w:rsid w:val="009D41C2"/>
    <w:rsid w:val="00A32A74"/>
    <w:rsid w:val="00A645E3"/>
    <w:rsid w:val="00A755AA"/>
    <w:rsid w:val="00A811F6"/>
    <w:rsid w:val="00B2765F"/>
    <w:rsid w:val="00B45619"/>
    <w:rsid w:val="00B7108E"/>
    <w:rsid w:val="00BA5799"/>
    <w:rsid w:val="00BB6D64"/>
    <w:rsid w:val="00C07838"/>
    <w:rsid w:val="00C16A03"/>
    <w:rsid w:val="00C66B42"/>
    <w:rsid w:val="00CA0E2F"/>
    <w:rsid w:val="00CA2824"/>
    <w:rsid w:val="00CB54BF"/>
    <w:rsid w:val="00CD2281"/>
    <w:rsid w:val="00CD52CC"/>
    <w:rsid w:val="00CF278B"/>
    <w:rsid w:val="00D224C0"/>
    <w:rsid w:val="00D53BF2"/>
    <w:rsid w:val="00DA2EE2"/>
    <w:rsid w:val="00DB70AE"/>
    <w:rsid w:val="00DD3412"/>
    <w:rsid w:val="00DE304F"/>
    <w:rsid w:val="00DE73FC"/>
    <w:rsid w:val="00DF30C6"/>
    <w:rsid w:val="00E02FAA"/>
    <w:rsid w:val="00E274B1"/>
    <w:rsid w:val="00E41226"/>
    <w:rsid w:val="00E50C5D"/>
    <w:rsid w:val="00E7171B"/>
    <w:rsid w:val="00E90247"/>
    <w:rsid w:val="00E957B2"/>
    <w:rsid w:val="00EA61FD"/>
    <w:rsid w:val="00EE50D0"/>
    <w:rsid w:val="00F44064"/>
    <w:rsid w:val="00F85E01"/>
    <w:rsid w:val="00F916B1"/>
    <w:rsid w:val="00FB2E30"/>
    <w:rsid w:val="00FC3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0C65"/>
  <w15:chartTrackingRefBased/>
  <w15:docId w15:val="{CB301614-F93D-47B4-BD81-4CA1C442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E957B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957B2"/>
    <w:rPr>
      <w:rFonts w:ascii="Courier New" w:eastAsia="Times New Roman" w:hAnsi="Courier New" w:cs="Courier New"/>
      <w:sz w:val="20"/>
      <w:szCs w:val="20"/>
      <w:lang w:eastAsia="pl-PL"/>
    </w:rPr>
  </w:style>
  <w:style w:type="character" w:styleId="Hipercze">
    <w:name w:val="Hyperlink"/>
    <w:uiPriority w:val="99"/>
    <w:unhideWhenUsed/>
    <w:rsid w:val="00E957B2"/>
    <w:rPr>
      <w:color w:val="0563C1"/>
      <w:u w:val="single"/>
    </w:rPr>
  </w:style>
  <w:style w:type="paragraph" w:styleId="Tekstpodstawowywcity">
    <w:name w:val="Body Text Indent"/>
    <w:basedOn w:val="Normalny"/>
    <w:link w:val="TekstpodstawowywcityZnak"/>
    <w:rsid w:val="00E957B2"/>
    <w:pPr>
      <w:spacing w:after="0" w:line="240" w:lineRule="auto"/>
      <w:ind w:left="360"/>
    </w:pPr>
    <w:rPr>
      <w:rFonts w:ascii="Times New Roman" w:eastAsia="Times New Roman" w:hAnsi="Times New Roman" w:cs="Times New Roman"/>
      <w:sz w:val="28"/>
      <w:szCs w:val="28"/>
      <w:lang w:eastAsia="pl-PL"/>
    </w:rPr>
  </w:style>
  <w:style w:type="character" w:customStyle="1" w:styleId="TekstpodstawowywcityZnak">
    <w:name w:val="Tekst podstawowy wcięty Znak"/>
    <w:basedOn w:val="Domylnaczcionkaakapitu"/>
    <w:link w:val="Tekstpodstawowywcity"/>
    <w:rsid w:val="00E957B2"/>
    <w:rPr>
      <w:rFonts w:ascii="Times New Roman" w:eastAsia="Times New Roman" w:hAnsi="Times New Roman" w:cs="Times New Roman"/>
      <w:sz w:val="28"/>
      <w:szCs w:val="28"/>
      <w:lang w:eastAsia="pl-PL"/>
    </w:rPr>
  </w:style>
  <w:style w:type="paragraph" w:styleId="Akapitzlist">
    <w:name w:val="List Paragraph"/>
    <w:basedOn w:val="Normalny"/>
    <w:uiPriority w:val="34"/>
    <w:qFormat/>
    <w:rsid w:val="0080757C"/>
    <w:pPr>
      <w:ind w:left="720"/>
      <w:contextualSpacing/>
    </w:pPr>
  </w:style>
  <w:style w:type="paragraph" w:styleId="Tekstdymka">
    <w:name w:val="Balloon Text"/>
    <w:basedOn w:val="Normalny"/>
    <w:link w:val="TekstdymkaZnak"/>
    <w:uiPriority w:val="99"/>
    <w:semiHidden/>
    <w:unhideWhenUsed/>
    <w:rsid w:val="004604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456"/>
    <w:rPr>
      <w:rFonts w:ascii="Segoe UI" w:hAnsi="Segoe UI" w:cs="Segoe UI"/>
      <w:sz w:val="18"/>
      <w:szCs w:val="18"/>
    </w:rPr>
  </w:style>
  <w:style w:type="character" w:styleId="Pogrubienie">
    <w:name w:val="Strong"/>
    <w:basedOn w:val="Domylnaczcionkaakapitu"/>
    <w:uiPriority w:val="22"/>
    <w:qFormat/>
    <w:rsid w:val="005D5FEF"/>
    <w:rPr>
      <w:b/>
      <w:bCs/>
    </w:rPr>
  </w:style>
  <w:style w:type="character" w:customStyle="1" w:styleId="alb">
    <w:name w:val="a_lb"/>
    <w:rsid w:val="00E50C5D"/>
  </w:style>
  <w:style w:type="character" w:styleId="Odwoanieintensywne">
    <w:name w:val="Intense Reference"/>
    <w:basedOn w:val="Domylnaczcionkaakapitu"/>
    <w:uiPriority w:val="32"/>
    <w:qFormat/>
    <w:rsid w:val="001905E5"/>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8161">
      <w:bodyDiv w:val="1"/>
      <w:marLeft w:val="0"/>
      <w:marRight w:val="0"/>
      <w:marTop w:val="0"/>
      <w:marBottom w:val="0"/>
      <w:divBdr>
        <w:top w:val="none" w:sz="0" w:space="0" w:color="auto"/>
        <w:left w:val="none" w:sz="0" w:space="0" w:color="auto"/>
        <w:bottom w:val="none" w:sz="0" w:space="0" w:color="auto"/>
        <w:right w:val="none" w:sz="0" w:space="0" w:color="auto"/>
      </w:divBdr>
    </w:div>
    <w:div w:id="18937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piotrkow.pl" TargetMode="External"/><Relationship Id="rId5" Type="http://schemas.openxmlformats.org/officeDocument/2006/relationships/hyperlink" Target="http://www.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13901</Characters>
  <Application>Microsoft Office Word</Application>
  <DocSecurity>4</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Nieśmiałek Elżbieta</dc:creator>
  <cp:keywords/>
  <dc:description/>
  <cp:lastModifiedBy>Jarzębska Monika</cp:lastModifiedBy>
  <cp:revision>2</cp:revision>
  <cp:lastPrinted>2021-01-22T07:38:00Z</cp:lastPrinted>
  <dcterms:created xsi:type="dcterms:W3CDTF">2021-04-21T13:01:00Z</dcterms:created>
  <dcterms:modified xsi:type="dcterms:W3CDTF">2021-04-21T13:01:00Z</dcterms:modified>
</cp:coreProperties>
</file>