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C50F42" w:rsidRDefault="004F7195" w:rsidP="0012420F">
      <w:pPr>
        <w:keepNext/>
        <w:spacing w:before="120" w:after="120" w:line="360" w:lineRule="auto"/>
        <w:ind w:left="5300"/>
        <w:jc w:val="left"/>
        <w:rPr>
          <w:rFonts w:ascii="Arial" w:hAnsi="Arial" w:cs="Arial"/>
          <w:sz w:val="24"/>
        </w:rPr>
      </w:pPr>
      <w:r w:rsidRPr="00C50F42">
        <w:rPr>
          <w:rFonts w:ascii="Arial" w:hAnsi="Arial" w:cs="Arial"/>
          <w:sz w:val="24"/>
        </w:rPr>
        <w:fldChar w:fldCharType="begin"/>
      </w:r>
      <w:r w:rsidRPr="00C50F42">
        <w:rPr>
          <w:rFonts w:ascii="Arial" w:hAnsi="Arial" w:cs="Arial"/>
          <w:sz w:val="24"/>
        </w:rPr>
        <w:fldChar w:fldCharType="end"/>
      </w:r>
      <w:r w:rsidRPr="00C50F42">
        <w:rPr>
          <w:rFonts w:ascii="Arial" w:hAnsi="Arial" w:cs="Arial"/>
          <w:sz w:val="24"/>
        </w:rPr>
        <w:t>Załącznik Nr 1 do uchwały Nr XXXIII/459/21</w:t>
      </w:r>
      <w:r w:rsidRPr="00C50F42">
        <w:rPr>
          <w:rFonts w:ascii="Arial" w:hAnsi="Arial" w:cs="Arial"/>
          <w:sz w:val="24"/>
        </w:rPr>
        <w:br/>
        <w:t>Rady Miasta Piotrkowa Trybunalskiego</w:t>
      </w:r>
      <w:r w:rsidRPr="00C50F42">
        <w:rPr>
          <w:rFonts w:ascii="Arial" w:hAnsi="Arial" w:cs="Arial"/>
          <w:sz w:val="24"/>
        </w:rPr>
        <w:br/>
        <w:t>z dnia 24 lutego 2021 r.</w:t>
      </w:r>
    </w:p>
    <w:p w:rsidR="00A77B3E" w:rsidRPr="0012420F" w:rsidRDefault="0012420F">
      <w:pPr>
        <w:keepNext/>
        <w:spacing w:after="48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Regulamin Programu - </w:t>
      </w:r>
      <w:r w:rsidR="004F7195" w:rsidRPr="0012420F">
        <w:rPr>
          <w:rFonts w:ascii="Arial" w:hAnsi="Arial" w:cs="Arial"/>
          <w:b/>
          <w:sz w:val="24"/>
        </w:rPr>
        <w:t>Piotrkowska Karta Mieszkańca</w:t>
      </w:r>
    </w:p>
    <w:p w:rsidR="00A77B3E" w:rsidRPr="00C50F42" w:rsidRDefault="004F7195" w:rsidP="00C50F42">
      <w:pPr>
        <w:keepLines/>
        <w:jc w:val="left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1. </w:t>
      </w:r>
      <w:r w:rsidRPr="00C50F42">
        <w:rPr>
          <w:rFonts w:ascii="Arial" w:hAnsi="Arial" w:cs="Arial"/>
          <w:sz w:val="24"/>
        </w:rPr>
        <w:t>1. Przyjmuje się Program "Piotrkowska Karta Mieszkańca" zwany dalej "Programem".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2. </w:t>
      </w:r>
      <w:r w:rsidRPr="00C50F42">
        <w:rPr>
          <w:rFonts w:ascii="Arial" w:hAnsi="Arial" w:cs="Arial"/>
          <w:color w:val="000000"/>
          <w:sz w:val="24"/>
          <w:u w:color="000000"/>
        </w:rPr>
        <w:t>Program kierowany jest do osób, których miejscem zamieszkania jest Miasto Piotrków Trybunalski, zwanych dalej „mieszkańcami”.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bookmarkStart w:id="0" w:name="_GoBack"/>
      <w:bookmarkEnd w:id="0"/>
      <w:r w:rsidRPr="00C50F42">
        <w:rPr>
          <w:rFonts w:ascii="Arial" w:hAnsi="Arial" w:cs="Arial"/>
          <w:sz w:val="24"/>
        </w:rPr>
        <w:t>3. </w:t>
      </w:r>
      <w:r w:rsidRPr="00C50F42">
        <w:rPr>
          <w:rFonts w:ascii="Arial" w:hAnsi="Arial" w:cs="Arial"/>
          <w:color w:val="000000"/>
          <w:sz w:val="24"/>
          <w:u w:color="000000"/>
        </w:rPr>
        <w:t>W rozumieniu Programu przez miejsce zamieszkania należy rozumieć miejscowość, w której osoba ta przebywa z zamiarem stałego pobytu.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2. </w:t>
      </w:r>
      <w:r w:rsidRPr="00C50F42">
        <w:rPr>
          <w:rFonts w:ascii="Arial" w:hAnsi="Arial" w:cs="Arial"/>
          <w:color w:val="000000"/>
          <w:sz w:val="24"/>
          <w:u w:color="000000"/>
        </w:rPr>
        <w:t>Program skierowany jest do mieszkańców Miasta Piotrkowa Trybunalskiego, którzy nie posiadają uprawnień do zniżek z innego tytułu.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3. </w:t>
      </w:r>
      <w:r w:rsidRPr="00C50F42">
        <w:rPr>
          <w:rFonts w:ascii="Arial" w:hAnsi="Arial" w:cs="Arial"/>
          <w:sz w:val="24"/>
        </w:rPr>
        <w:t>1. </w:t>
      </w:r>
      <w:r w:rsidRPr="00C50F42">
        <w:rPr>
          <w:rFonts w:ascii="Arial" w:hAnsi="Arial" w:cs="Arial"/>
          <w:color w:val="000000"/>
          <w:sz w:val="24"/>
          <w:u w:color="000000"/>
        </w:rPr>
        <w:t>Program Piotrkowska Karta Mieszkańca ma na celu:</w:t>
      </w:r>
    </w:p>
    <w:p w:rsidR="00A77B3E" w:rsidRPr="00C50F42" w:rsidRDefault="004F7195" w:rsidP="00C50F42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1) </w:t>
      </w:r>
      <w:r w:rsidRPr="00C50F42">
        <w:rPr>
          <w:rFonts w:ascii="Arial" w:hAnsi="Arial" w:cs="Arial"/>
          <w:color w:val="000000"/>
          <w:sz w:val="24"/>
          <w:u w:color="000000"/>
        </w:rPr>
        <w:t>poprawę warunków życia mieszkańców poprzez zmniejszenie obciążeń finansowych;</w:t>
      </w:r>
    </w:p>
    <w:p w:rsidR="00A77B3E" w:rsidRPr="00C50F42" w:rsidRDefault="004F7195" w:rsidP="00C50F42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2) </w:t>
      </w:r>
      <w:r w:rsidRPr="00C50F42">
        <w:rPr>
          <w:rFonts w:ascii="Arial" w:hAnsi="Arial" w:cs="Arial"/>
          <w:color w:val="000000"/>
          <w:sz w:val="24"/>
          <w:u w:color="000000"/>
        </w:rPr>
        <w:t>zwiększenie mieszkańcom dostępności do usług instytucji kultury, sportu i rekreacji;</w:t>
      </w:r>
    </w:p>
    <w:p w:rsidR="00A77B3E" w:rsidRPr="00C50F42" w:rsidRDefault="004F7195" w:rsidP="00C50F42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3) </w:t>
      </w:r>
      <w:r w:rsidRPr="00C50F42">
        <w:rPr>
          <w:rFonts w:ascii="Arial" w:hAnsi="Arial" w:cs="Arial"/>
          <w:color w:val="000000"/>
          <w:sz w:val="24"/>
          <w:u w:color="000000"/>
        </w:rPr>
        <w:t>pozyskanie podmiotów gospodarczych i organizacji pozarządowych i włączenie ich do zaproponowanego mieszkańcom Miasta systemu ulg i zniżek;</w:t>
      </w:r>
    </w:p>
    <w:p w:rsidR="00A77B3E" w:rsidRPr="00C50F42" w:rsidRDefault="004F7195" w:rsidP="00C50F42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4) </w:t>
      </w:r>
      <w:r w:rsidRPr="00C50F42">
        <w:rPr>
          <w:rFonts w:ascii="Arial" w:hAnsi="Arial" w:cs="Arial"/>
          <w:color w:val="000000"/>
          <w:sz w:val="24"/>
          <w:u w:color="000000"/>
        </w:rPr>
        <w:t>poszerzenie oferty możliwości spędzania wolnego czasu dla mieszkańców.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4. </w:t>
      </w:r>
      <w:r w:rsidRPr="00C50F42">
        <w:rPr>
          <w:rFonts w:ascii="Arial" w:hAnsi="Arial" w:cs="Arial"/>
          <w:sz w:val="24"/>
        </w:rPr>
        <w:t>1. </w:t>
      </w:r>
      <w:r w:rsidRPr="00C50F42">
        <w:rPr>
          <w:rFonts w:ascii="Arial" w:hAnsi="Arial" w:cs="Arial"/>
          <w:color w:val="000000"/>
          <w:sz w:val="24"/>
          <w:u w:color="000000"/>
        </w:rPr>
        <w:t>Jako potwierdzenie uprawnień do korzystania ze zniżek i innych preferencji wprowadza się Piotrkowską Kartę Mieszkańca.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2. </w:t>
      </w:r>
      <w:r w:rsidRPr="00C50F42">
        <w:rPr>
          <w:rFonts w:ascii="Arial" w:hAnsi="Arial" w:cs="Arial"/>
          <w:color w:val="000000"/>
          <w:sz w:val="24"/>
          <w:u w:color="000000"/>
        </w:rPr>
        <w:t>Nośnikiem jest plastikowa karta zbliżeniowa.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3. </w:t>
      </w:r>
      <w:r w:rsidRPr="00C50F42">
        <w:rPr>
          <w:rFonts w:ascii="Arial" w:hAnsi="Arial" w:cs="Arial"/>
          <w:color w:val="000000"/>
          <w:sz w:val="24"/>
          <w:u w:color="000000"/>
        </w:rPr>
        <w:t>Do otrzymania Piotrkowskiej Karty Mieszkańca uprawniony jest:</w:t>
      </w:r>
    </w:p>
    <w:p w:rsidR="00A77B3E" w:rsidRPr="00C50F42" w:rsidRDefault="004F7195" w:rsidP="00C50F42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1) </w:t>
      </w:r>
      <w:r w:rsidRPr="00C50F42">
        <w:rPr>
          <w:rFonts w:ascii="Arial" w:hAnsi="Arial" w:cs="Arial"/>
          <w:color w:val="000000"/>
          <w:sz w:val="24"/>
          <w:u w:color="000000"/>
        </w:rPr>
        <w:t>mieszkaniec Miasta Piotrkowa Trybunalskiego, który spełnia co najmniej jeden z warunków: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a) </w:t>
      </w:r>
      <w:r w:rsidRPr="00C50F42">
        <w:rPr>
          <w:rFonts w:ascii="Arial" w:hAnsi="Arial" w:cs="Arial"/>
          <w:color w:val="000000"/>
          <w:sz w:val="24"/>
          <w:u w:color="000000"/>
        </w:rPr>
        <w:t>rozlicza się z podatku dochodowego od osób fizycznych w Urzędzie Skarbowym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w Piotrkowie Trybunalskim i deklaruje w swoim zeznaniu albo wynika to z decyzji Urzędu Skarbowego w Piotrkowie Trybunalskim, że jego miejscem zamieszkania na dzień 31 grudnia rozliczonego ostatnio roku podatkowego jest Miasto Piotrków Trybunalski,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b) </w:t>
      </w:r>
      <w:r w:rsidRPr="00C50F42">
        <w:rPr>
          <w:rFonts w:ascii="Arial" w:hAnsi="Arial" w:cs="Arial"/>
          <w:color w:val="000000"/>
          <w:sz w:val="24"/>
          <w:u w:color="000000"/>
        </w:rPr>
        <w:t>korzysta ze świadczeń z Miejskiego Ośrodka Pomocy Rodzinie w Piotrkowie Trybunalskim,</w:t>
      </w:r>
    </w:p>
    <w:p w:rsidR="00A77B3E" w:rsidRPr="00C50F42" w:rsidRDefault="004F7195" w:rsidP="00C50F42">
      <w:pPr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2) </w:t>
      </w:r>
      <w:r w:rsidRPr="00C50F42">
        <w:rPr>
          <w:rFonts w:ascii="Arial" w:hAnsi="Arial" w:cs="Arial"/>
          <w:color w:val="000000"/>
          <w:sz w:val="24"/>
          <w:u w:color="000000"/>
        </w:rPr>
        <w:t>członek rodziny osoby składającej wniosek o wydanie Karty: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a) </w:t>
      </w:r>
      <w:r w:rsidRPr="00C50F42">
        <w:rPr>
          <w:rFonts w:ascii="Arial" w:hAnsi="Arial" w:cs="Arial"/>
          <w:color w:val="000000"/>
          <w:sz w:val="24"/>
          <w:u w:color="000000"/>
        </w:rPr>
        <w:t>dzieci w wieku od 4 do 7 lat za okazaniem stosownego dokumentu potwierdzającego wiek dziecka, np. akt urodzenia,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b) </w:t>
      </w:r>
      <w:r w:rsidRPr="00C50F42">
        <w:rPr>
          <w:rFonts w:ascii="Arial" w:hAnsi="Arial" w:cs="Arial"/>
          <w:color w:val="000000"/>
          <w:sz w:val="24"/>
          <w:u w:color="000000"/>
        </w:rPr>
        <w:t>młodzież szkolna za okazaniem legitymacji szkolnej,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c) </w:t>
      </w:r>
      <w:r w:rsidRPr="00C50F42">
        <w:rPr>
          <w:rFonts w:ascii="Arial" w:hAnsi="Arial" w:cs="Arial"/>
          <w:color w:val="000000"/>
          <w:sz w:val="24"/>
          <w:u w:color="000000"/>
        </w:rPr>
        <w:t>studenci do ukończenia 25. roku życia za okazaniem legitymacji studenckiej,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d) </w:t>
      </w:r>
      <w:r w:rsidRPr="00C50F42">
        <w:rPr>
          <w:rFonts w:ascii="Arial" w:hAnsi="Arial" w:cs="Arial"/>
          <w:color w:val="000000"/>
          <w:sz w:val="24"/>
          <w:u w:color="000000"/>
        </w:rPr>
        <w:t>dzieci niepełnosprawne w stopniu umiarkowanym i lekkim, za okazaniem stosownego dokumentu potwierdzającego niepełnosprawność.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5. </w:t>
      </w:r>
      <w:r w:rsidRPr="00C50F42">
        <w:rPr>
          <w:rFonts w:ascii="Arial" w:hAnsi="Arial" w:cs="Arial"/>
          <w:color w:val="000000"/>
          <w:sz w:val="24"/>
          <w:u w:color="000000"/>
        </w:rPr>
        <w:t>W imieniu osoby do 18. roku życia wniosek składa rodzic lub opiekun prawny, który wypełnia go wypisując dane osoby, w imieniu której występuje oraz składa pod wnioskiem swój podpis.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6. </w:t>
      </w:r>
      <w:r w:rsidRPr="00C50F42">
        <w:rPr>
          <w:rFonts w:ascii="Arial" w:hAnsi="Arial" w:cs="Arial"/>
          <w:color w:val="000000"/>
          <w:sz w:val="24"/>
          <w:u w:color="000000"/>
        </w:rPr>
        <w:t>Dziecku, które nie ukończyło 4. roku życia nie wydaje się Karty, a uprawnienia z ulg lub zniżek przysługują na podstawie ważnej Karty wydanej rodzicowi bądź opiekunowi prawnemu.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lastRenderedPageBreak/>
        <w:t>§ 7. </w:t>
      </w:r>
      <w:r w:rsidRPr="00C50F42">
        <w:rPr>
          <w:rFonts w:ascii="Arial" w:hAnsi="Arial" w:cs="Arial"/>
          <w:color w:val="000000"/>
          <w:sz w:val="24"/>
          <w:u w:color="000000"/>
        </w:rPr>
        <w:t>Podczas odbioru Kart osoba składająca wniosek jest zobowiązana do okazania się dowodem tożsamości, a także w przypadku Kart dla dzieci uczących się do 18. roku życia legitymacją szkolną.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8. </w:t>
      </w:r>
      <w:r w:rsidRPr="00C50F42">
        <w:rPr>
          <w:rFonts w:ascii="Arial" w:hAnsi="Arial" w:cs="Arial"/>
          <w:sz w:val="24"/>
        </w:rPr>
        <w:t>1. </w:t>
      </w:r>
      <w:r w:rsidRPr="00C50F42">
        <w:rPr>
          <w:rFonts w:ascii="Arial" w:hAnsi="Arial" w:cs="Arial"/>
          <w:color w:val="000000"/>
          <w:sz w:val="24"/>
          <w:u w:color="000000"/>
        </w:rPr>
        <w:t>Piotrkowską Kartę Mieszkańca wydaje się na czas określony tj. na okres do dwóch lat liczonych od daty wydania Karty.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2. </w:t>
      </w:r>
      <w:r w:rsidRPr="00C50F42">
        <w:rPr>
          <w:rFonts w:ascii="Arial" w:hAnsi="Arial" w:cs="Arial"/>
          <w:color w:val="000000"/>
          <w:sz w:val="24"/>
          <w:u w:color="000000"/>
        </w:rPr>
        <w:t>Uzyskanie Piotrkowskiej Karty Mieszkańca jest bezpłatne.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3. </w:t>
      </w:r>
      <w:r w:rsidRPr="00C50F42">
        <w:rPr>
          <w:rFonts w:ascii="Arial" w:hAnsi="Arial" w:cs="Arial"/>
          <w:color w:val="000000"/>
          <w:sz w:val="24"/>
          <w:u w:color="000000"/>
        </w:rPr>
        <w:t>Warunkiem otrzymania Piotrkowskiej Karty Mieszkańca jest złożenie właściwego wniosku wraz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z wymaganymi dokumentami.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4. </w:t>
      </w:r>
      <w:r w:rsidRPr="00C50F42">
        <w:rPr>
          <w:rFonts w:ascii="Arial" w:hAnsi="Arial" w:cs="Arial"/>
          <w:color w:val="000000"/>
          <w:sz w:val="24"/>
          <w:u w:color="000000"/>
        </w:rPr>
        <w:t>Uzyskanie Piotrkowskiej Karty Mieszkańca odbywać się będzie na wniosek złożony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w Urzędzie Miasta w Piotrkowie Trybunalskim lub punktach specjalnie do tego wyznaczonych, a także poprzez Internet, za pomocą wniosku elektronicznego zamieszczonego na stronie www.piotrkow.pl.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5. </w:t>
      </w:r>
      <w:r w:rsidRPr="00C50F42">
        <w:rPr>
          <w:rFonts w:ascii="Arial" w:hAnsi="Arial" w:cs="Arial"/>
          <w:color w:val="000000"/>
          <w:sz w:val="24"/>
          <w:u w:color="000000"/>
        </w:rPr>
        <w:t>Kartę Mieszkańca wydaje się na podstawie prawidłowo wypełnionego wniosku, w którym wymagane jest wyrażenie zgody na przetwarzanie danych osobowych zawartych w formularzu oraz wizerunku dla potrzeb niezbędnych do uczestnictwa w Programie, złożonego osobiście w jednym z punktów wydawania Kart, zlokalizowanych w instytucjach publicznych w Piotrkowie Trybunalskim lub poprzez Internet za pomocą wniosku elektronicznego zamieszczonego na stronie www.piotrkow.pl.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6. </w:t>
      </w:r>
      <w:r w:rsidRPr="00C50F42">
        <w:rPr>
          <w:rFonts w:ascii="Arial" w:hAnsi="Arial" w:cs="Arial"/>
          <w:color w:val="000000"/>
          <w:sz w:val="24"/>
          <w:u w:color="000000"/>
        </w:rPr>
        <w:t>Odbiór Karty przez wnioskodawcę będzie możliwy wyłącznie osobiście, za pokwitowaniem odbioru.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7. </w:t>
      </w:r>
      <w:r w:rsidRPr="00C50F42">
        <w:rPr>
          <w:rFonts w:ascii="Arial" w:hAnsi="Arial" w:cs="Arial"/>
          <w:color w:val="000000"/>
          <w:sz w:val="24"/>
          <w:u w:color="000000"/>
        </w:rPr>
        <w:t>W przypadku uszkodzenia bądź utraty Karty, duplikat wydawany jest na koszt beneficjenta. Wydanie duplikatu podlega opłacie w wysokości 10 zł brutto płatnej w kasie Urzędu Miasta Piotrkowa Trybunalskiego.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8. </w:t>
      </w:r>
      <w:r w:rsidRPr="00C50F42">
        <w:rPr>
          <w:rFonts w:ascii="Arial" w:hAnsi="Arial" w:cs="Arial"/>
          <w:color w:val="000000"/>
          <w:sz w:val="24"/>
          <w:u w:color="000000"/>
        </w:rPr>
        <w:t>Zmiana danych osobowych Posiadacza Piotrkowskiej Karty Mieszkańca wymaga wydania duplikatu Karty. Wydanie duplikatu w tym przypadku jest bezpłatne.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9. </w:t>
      </w:r>
      <w:r w:rsidRPr="00C50F42">
        <w:rPr>
          <w:rFonts w:ascii="Arial" w:hAnsi="Arial" w:cs="Arial"/>
          <w:sz w:val="24"/>
        </w:rPr>
        <w:t>1. </w:t>
      </w:r>
      <w:r w:rsidRPr="00C50F42">
        <w:rPr>
          <w:rFonts w:ascii="Arial" w:hAnsi="Arial" w:cs="Arial"/>
          <w:color w:val="000000"/>
          <w:sz w:val="24"/>
          <w:u w:color="000000"/>
        </w:rPr>
        <w:t xml:space="preserve">Na 30 dni przed końcem okresu ważności Karty Posiadacz Piotrkowskiej Karty Mieszkańca otrzyma powiadomienie o konieczności jej przedłużenia. Zawiadomienie zostanie wysłane wiadomością 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e-mailową.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10. </w:t>
      </w:r>
      <w:r w:rsidRPr="00C50F42">
        <w:rPr>
          <w:rFonts w:ascii="Arial" w:hAnsi="Arial" w:cs="Arial"/>
          <w:color w:val="000000"/>
          <w:sz w:val="24"/>
          <w:u w:color="000000"/>
        </w:rPr>
        <w:t>Wzór Piotrkowskiej Karty Mieszkańca, wzory wniosków oraz zasady przedłużenia ważności Karty określa Zarządzenie Prezydenta Miasta Piotrkowa Trybunalskiego.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11. </w:t>
      </w:r>
      <w:r w:rsidRPr="00C50F42">
        <w:rPr>
          <w:rFonts w:ascii="Arial" w:hAnsi="Arial" w:cs="Arial"/>
          <w:color w:val="000000"/>
          <w:sz w:val="24"/>
          <w:u w:color="000000"/>
        </w:rPr>
        <w:t>Środki niezbędne na realizację Programu w zakresie dotyczącym ulg oferowanych przez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samorządowe jednostki budżetowe, samorządowe instytucje kultury Miasta Piotrkowa Trybunalskiego oraz spółki prawa handlowego ze 100 proc. udziałem Miasta Piotrkowa Trybunalskiego, pokrywane będą z budżetu Miasta Piotrkowa Trybunalskiego.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12. </w:t>
      </w:r>
      <w:r w:rsidRPr="00C50F42">
        <w:rPr>
          <w:rFonts w:ascii="Arial" w:hAnsi="Arial" w:cs="Arial"/>
          <w:sz w:val="24"/>
        </w:rPr>
        <w:t>1. </w:t>
      </w:r>
      <w:r w:rsidRPr="00C50F42">
        <w:rPr>
          <w:rFonts w:ascii="Arial" w:hAnsi="Arial" w:cs="Arial"/>
          <w:color w:val="000000"/>
          <w:sz w:val="24"/>
          <w:u w:color="000000"/>
        </w:rPr>
        <w:t>Do udziału w Programie mogą przystąpić inne instytucje publiczne, podmioty gospodarcze oraz organizacje pozarządowe, które w ramach świadczonych przez siebie usług będą realizować ulgi, preferencje lub świadczenia dla mieszkańców Miasta Piotrkowa Trybunalskiego.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2. </w:t>
      </w:r>
      <w:r w:rsidRPr="00C50F42">
        <w:rPr>
          <w:rFonts w:ascii="Arial" w:hAnsi="Arial" w:cs="Arial"/>
          <w:color w:val="000000"/>
          <w:sz w:val="24"/>
          <w:u w:color="000000"/>
        </w:rPr>
        <w:t>Zasady udziału innych instytucji publicznych, podmiotów komercyjnych oraz organizacji pozarządowych w Programie Piotrkowska Karta Mieszkańca zostały określone Uchwałą Nr XXVI/370/20  Rady Miasta Piotrkowa Trybunalskiego z dnia 26 sierpnia 2020 r. w sprawie zasad udziału innych instytucji publicznych, podmiotów komercyjnych oraz organizacji pozarządowych w Programie Piotrkowska Karta Mieszkańca.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3. </w:t>
      </w:r>
      <w:r w:rsidRPr="00C50F42">
        <w:rPr>
          <w:rFonts w:ascii="Arial" w:hAnsi="Arial" w:cs="Arial"/>
          <w:color w:val="000000"/>
          <w:sz w:val="24"/>
          <w:u w:color="000000"/>
        </w:rPr>
        <w:t>Aktualna informacja o lokalizacjach wszystkich punktów wydawania karty i godzinach ich pracy dostępna będzie na stronie internetowej www.piotrkow.pl.</w:t>
      </w:r>
    </w:p>
    <w:p w:rsidR="00A77B3E" w:rsidRPr="00C50F42" w:rsidRDefault="004F7195" w:rsidP="00C50F42">
      <w:pPr>
        <w:keepLines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b/>
          <w:sz w:val="24"/>
        </w:rPr>
        <w:t>§ 13. </w:t>
      </w:r>
      <w:r w:rsidRPr="00C50F42">
        <w:rPr>
          <w:rFonts w:ascii="Arial" w:hAnsi="Arial" w:cs="Arial"/>
          <w:sz w:val="24"/>
        </w:rPr>
        <w:t>1. </w:t>
      </w:r>
      <w:r w:rsidRPr="00C50F42">
        <w:rPr>
          <w:rFonts w:ascii="Arial" w:hAnsi="Arial" w:cs="Arial"/>
          <w:color w:val="000000"/>
          <w:sz w:val="24"/>
          <w:u w:color="000000"/>
        </w:rPr>
        <w:t>Program nie narusza praw do innych ulg przyznanych na podstawie odrębnych przepisów prawa.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lastRenderedPageBreak/>
        <w:t>2. </w:t>
      </w:r>
      <w:r w:rsidRPr="00C50F42">
        <w:rPr>
          <w:rFonts w:ascii="Arial" w:hAnsi="Arial" w:cs="Arial"/>
          <w:color w:val="000000"/>
          <w:sz w:val="24"/>
          <w:u w:color="000000"/>
        </w:rPr>
        <w:t>Ulgi z tytułu posiadania Piotrkowskiej Karty Mieszkańca nie sumują się z innymi ulgami.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sz w:val="24"/>
        </w:rPr>
        <w:t>3. </w:t>
      </w:r>
      <w:r w:rsidRPr="00C50F42">
        <w:rPr>
          <w:rFonts w:ascii="Arial" w:hAnsi="Arial" w:cs="Arial"/>
          <w:color w:val="000000"/>
          <w:sz w:val="24"/>
          <w:u w:color="000000"/>
        </w:rPr>
        <w:t>Jednostką koordynującą realizację Programu jest Referat Spraw Społecznych Urzędu Miasta Piotrkowa Trybunalskiego.</w:t>
      </w:r>
    </w:p>
    <w:p w:rsidR="00A77B3E" w:rsidRPr="00C50F42" w:rsidRDefault="004F7195" w:rsidP="00C50F42">
      <w:pPr>
        <w:keepLines/>
        <w:spacing w:before="120" w:after="120"/>
        <w:rPr>
          <w:rFonts w:ascii="Arial" w:hAnsi="Arial" w:cs="Arial"/>
          <w:color w:val="000000"/>
          <w:sz w:val="24"/>
          <w:u w:color="000000"/>
        </w:rPr>
        <w:sectPr w:rsidR="00A77B3E" w:rsidRPr="00C50F4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C50F42">
        <w:rPr>
          <w:rFonts w:ascii="Arial" w:hAnsi="Arial" w:cs="Arial"/>
          <w:sz w:val="24"/>
        </w:rPr>
        <w:t>4. </w:t>
      </w:r>
      <w:r w:rsidRPr="00C50F42">
        <w:rPr>
          <w:rFonts w:ascii="Arial" w:hAnsi="Arial" w:cs="Arial"/>
          <w:color w:val="000000"/>
          <w:sz w:val="24"/>
          <w:u w:color="000000"/>
        </w:rPr>
        <w:t>Organizator Programu zastrzega sobie prawo do wprowadzania zmian i aktualizacji regulaminu.</w:t>
      </w:r>
    </w:p>
    <w:p w:rsidR="00A77B3E" w:rsidRPr="00C50F42" w:rsidRDefault="004F7195">
      <w:pPr>
        <w:keepNext/>
        <w:spacing w:before="120" w:after="120" w:line="360" w:lineRule="auto"/>
        <w:ind w:left="5300"/>
        <w:jc w:val="left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C50F42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C50F42">
        <w:rPr>
          <w:rFonts w:ascii="Arial" w:hAnsi="Arial" w:cs="Arial"/>
          <w:color w:val="000000"/>
          <w:sz w:val="24"/>
          <w:u w:color="000000"/>
        </w:rPr>
        <w:t>Załącznik Nr 2 do uchwały Nr XXXIII/459/21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z dnia 24 lutego 2021 r.</w:t>
      </w:r>
    </w:p>
    <w:p w:rsidR="00A77B3E" w:rsidRPr="00C50F42" w:rsidRDefault="004F7195">
      <w:pPr>
        <w:keepNext/>
        <w:spacing w:after="480"/>
        <w:jc w:val="center"/>
        <w:rPr>
          <w:color w:val="000000"/>
          <w:sz w:val="24"/>
          <w:u w:color="000000"/>
        </w:rPr>
      </w:pPr>
      <w:r w:rsidRPr="00C50F42">
        <w:rPr>
          <w:b/>
          <w:color w:val="000000"/>
          <w:sz w:val="24"/>
          <w:u w:color="000000"/>
        </w:rPr>
        <w:t>Zniżki i preferencje posiadacza Piotrkowskiej Karty Mieszkańca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036"/>
      </w:tblGrid>
      <w:tr w:rsidR="001769DD">
        <w:trPr>
          <w:trHeight w:val="253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ZNIŻEK DLA OSÓB PEŁNOLETNICH, NIEUCZĄCYCH SIĘ</w:t>
            </w:r>
          </w:p>
        </w:tc>
      </w:tr>
      <w:tr w:rsidR="001769DD">
        <w:trPr>
          <w:trHeight w:val="3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OSIR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 xml:space="preserve">Pływalnie Próchnika </w:t>
            </w:r>
            <w:proofErr w:type="spellStart"/>
            <w:r>
              <w:rPr>
                <w:b/>
              </w:rPr>
              <w:t>Belzacka</w:t>
            </w:r>
            <w:proofErr w:type="spellEnd"/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19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Fizykoterapia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40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Korty </w:t>
            </w:r>
            <w:proofErr w:type="spellStart"/>
            <w:r>
              <w:rPr>
                <w:b/>
              </w:rPr>
              <w:t>Belzacka</w:t>
            </w:r>
            <w:proofErr w:type="spellEnd"/>
          </w:p>
          <w:p w:rsidR="001769DD" w:rsidRDefault="004F7195">
            <w:pPr>
              <w:jc w:val="center"/>
            </w:pPr>
            <w:r>
              <w:rPr>
                <w:b/>
              </w:rPr>
              <w:t>Żeromskiego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24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Lodowisko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Wypożyczalnia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29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Hala Tenisowa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37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Siłownia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3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Sauna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83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Zajęcia rekreacyjne np.</w:t>
            </w:r>
          </w:p>
          <w:p w:rsidR="001769DD" w:rsidRDefault="004F7195">
            <w:pPr>
              <w:jc w:val="center"/>
            </w:pPr>
            <w:proofErr w:type="spellStart"/>
            <w:r>
              <w:rPr>
                <w:b/>
              </w:rPr>
              <w:t>Aeorobik</w:t>
            </w:r>
            <w:proofErr w:type="spellEnd"/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83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Wpisowe na imprezy organizowane przez </w:t>
            </w:r>
            <w:proofErr w:type="spellStart"/>
            <w:r>
              <w:rPr>
                <w:b/>
              </w:rPr>
              <w:t>OSiR</w:t>
            </w:r>
            <w:proofErr w:type="spellEnd"/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5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MBP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Zakup karty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bibliotecznej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(opłata jednorazowa)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5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Zakup biletu wstępu na wybrane wydarzenia organizowane przez MBP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1769DD"/>
          <w:p w:rsidR="001769DD" w:rsidRDefault="004F7195">
            <w:pPr>
              <w:jc w:val="center"/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5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Odpłatność na zajęcia edukacyjne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5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MOK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-Zakup biletu wstępu na spektakle, koncerty i imprezy okolicznościowe wyprodukowane przez MOK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10%</w:t>
            </w:r>
          </w:p>
        </w:tc>
      </w:tr>
      <w:tr w:rsidR="001769DD">
        <w:trPr>
          <w:trHeight w:val="5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Muzeum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Bilety wstępu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40%</w:t>
            </w:r>
          </w:p>
        </w:tc>
      </w:tr>
      <w:tr w:rsidR="001769DD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Strefa płatnego parkowania w Piotrkowie Trybunalskim</w:t>
            </w:r>
            <w:r>
              <w:t xml:space="preserve"> zgodnie z uchwałą w sprawie ustalenia strefy płatnego parkowania na terenie Miasta Piotrkowa Trybunalskiego, określenia wysokości stawek i sposobu ich pobierania.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Pr="00C50F42" w:rsidRDefault="004F7195">
      <w:pPr>
        <w:keepNext/>
        <w:spacing w:before="120" w:after="120" w:line="360" w:lineRule="auto"/>
        <w:ind w:left="5300"/>
        <w:jc w:val="left"/>
        <w:rPr>
          <w:rFonts w:ascii="Arial" w:hAnsi="Arial" w:cs="Arial"/>
          <w:color w:val="000000"/>
          <w:sz w:val="24"/>
          <w:u w:color="000000"/>
        </w:rPr>
      </w:pPr>
      <w:r w:rsidRPr="00C50F42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C50F42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C50F42">
        <w:rPr>
          <w:rFonts w:ascii="Arial" w:hAnsi="Arial" w:cs="Arial"/>
          <w:color w:val="000000"/>
          <w:sz w:val="24"/>
          <w:u w:color="000000"/>
        </w:rPr>
        <w:t>Załącznik Nr 3 do uchwały Nr XXXIII/459/21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Rady Miasta Piotrkowa Trybunalskiego</w:t>
      </w:r>
      <w:r w:rsidRPr="00C50F42">
        <w:rPr>
          <w:rFonts w:ascii="Arial" w:hAnsi="Arial" w:cs="Arial"/>
          <w:color w:val="000000"/>
          <w:sz w:val="24"/>
          <w:u w:color="000000"/>
        </w:rPr>
        <w:br/>
        <w:t>z dnia 24 lutego 2021 r.</w:t>
      </w:r>
    </w:p>
    <w:p w:rsidR="00A77B3E" w:rsidRPr="00C50F42" w:rsidRDefault="004F7195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C50F42">
        <w:rPr>
          <w:rFonts w:ascii="Arial" w:hAnsi="Arial" w:cs="Arial"/>
          <w:b/>
          <w:color w:val="000000"/>
          <w:u w:color="000000"/>
        </w:rPr>
        <w:t>Zniżki i preferencje posiadacza Piotrkowskiej Karty Mieszkańca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7276"/>
      </w:tblGrid>
      <w:tr w:rsidR="001769DD">
        <w:trPr>
          <w:trHeight w:val="253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ZNIŻEK DLA DZIECI, MŁODZIEŻY I STUDENTÓW </w:t>
            </w:r>
          </w:p>
        </w:tc>
      </w:tr>
      <w:tr w:rsidR="001769DD">
        <w:trPr>
          <w:trHeight w:val="674"/>
        </w:trPr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OSIR</w:t>
            </w:r>
          </w:p>
          <w:p w:rsidR="001769DD" w:rsidRDefault="001769DD"/>
          <w:p w:rsidR="001769DD" w:rsidRDefault="004F7195">
            <w:pPr>
              <w:jc w:val="center"/>
            </w:pPr>
            <w:r>
              <w:rPr>
                <w:b/>
              </w:rPr>
              <w:t>Pływalnie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Próchnika</w:t>
            </w:r>
          </w:p>
          <w:p w:rsidR="001769DD" w:rsidRDefault="004F7195">
            <w:pPr>
              <w:jc w:val="center"/>
            </w:pPr>
            <w:proofErr w:type="spellStart"/>
            <w:r>
              <w:rPr>
                <w:b/>
              </w:rPr>
              <w:t>Belzacka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zniżek </w:t>
            </w:r>
            <w:proofErr w:type="spellStart"/>
            <w:r>
              <w:rPr>
                <w:b/>
              </w:rPr>
              <w:t>OSiR</w:t>
            </w:r>
            <w:proofErr w:type="spellEnd"/>
            <w:r>
              <w:rPr>
                <w:b/>
              </w:rPr>
              <w:t xml:space="preserve"> naliczana jest odpowiednio do poszczególnych grup, tj. dzieci i młodzież do lat 19 oraz studentów do 25 r. ż.</w:t>
            </w:r>
          </w:p>
        </w:tc>
      </w:tr>
      <w:tr w:rsidR="001769DD">
        <w:trPr>
          <w:trHeight w:val="1275"/>
        </w:trPr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196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Zajęcia </w:t>
            </w:r>
            <w:proofErr w:type="spellStart"/>
            <w:r>
              <w:rPr>
                <w:b/>
              </w:rPr>
              <w:t>rekracyjne</w:t>
            </w:r>
            <w:proofErr w:type="spellEnd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402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Korty </w:t>
            </w:r>
            <w:proofErr w:type="spellStart"/>
            <w:r>
              <w:rPr>
                <w:b/>
              </w:rPr>
              <w:t>Belzacka</w:t>
            </w:r>
            <w:proofErr w:type="spellEnd"/>
          </w:p>
          <w:p w:rsidR="001769DD" w:rsidRDefault="004F7195">
            <w:pPr>
              <w:jc w:val="center"/>
            </w:pPr>
            <w:r>
              <w:rPr>
                <w:b/>
              </w:rPr>
              <w:t>Żeromskiego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245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Lodowisko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Wypożyczalnia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29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Hala Tenisowa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376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Siłownia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25 %</w:t>
            </w:r>
          </w:p>
        </w:tc>
      </w:tr>
      <w:tr w:rsidR="001769DD">
        <w:trPr>
          <w:trHeight w:val="315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Sauna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839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Wpisowe na imprezy organizowane przez </w:t>
            </w:r>
            <w:proofErr w:type="spellStart"/>
            <w:r>
              <w:rPr>
                <w:b/>
              </w:rPr>
              <w:t>OSiR</w:t>
            </w:r>
            <w:proofErr w:type="spellEnd"/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1661"/>
        </w:trPr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MBP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Zakup karty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bibliotecznej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(opłata jednorazowa)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54"/>
        </w:trPr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Zakup biletu wstępu na wybrane wydarzenia organizowane przez MBP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54"/>
        </w:trPr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Odpłatność na zajęcia edukacyjne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25%</w:t>
            </w:r>
          </w:p>
        </w:tc>
      </w:tr>
      <w:tr w:rsidR="001769DD">
        <w:trPr>
          <w:trHeight w:val="54"/>
        </w:trPr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MOK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-Zakup biletu wstępu na spektakle, koncerty i imprezy okolicznościowe wyprodukowane przez MOK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Wysokość zniżek MOK naliczana jest odpowiednio do poszczególnych grup, tj. dzieci i młodzież do lat 19 oraz studentów do 25 r. ż.</w:t>
            </w:r>
          </w:p>
          <w:p w:rsidR="001769DD" w:rsidRDefault="001769DD"/>
          <w:p w:rsidR="001769DD" w:rsidRDefault="004F7195">
            <w:pPr>
              <w:jc w:val="center"/>
            </w:pPr>
            <w:r>
              <w:rPr>
                <w:b/>
              </w:rPr>
              <w:t>10 %</w:t>
            </w:r>
          </w:p>
        </w:tc>
      </w:tr>
      <w:tr w:rsidR="001769DD">
        <w:trPr>
          <w:trHeight w:val="54"/>
        </w:trPr>
        <w:tc>
          <w:tcPr>
            <w:tcW w:w="2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F71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u w:val="single"/>
              </w:rPr>
              <w:t>Muzeum</w:t>
            </w:r>
          </w:p>
          <w:p w:rsidR="001769DD" w:rsidRDefault="004F7195">
            <w:pPr>
              <w:jc w:val="center"/>
            </w:pPr>
            <w:r>
              <w:rPr>
                <w:b/>
              </w:rPr>
              <w:t>Bilety wstępu</w:t>
            </w:r>
          </w:p>
        </w:tc>
        <w:tc>
          <w:tcPr>
            <w:tcW w:w="72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center"/>
            </w:pPr>
            <w:r>
              <w:rPr>
                <w:b/>
              </w:rPr>
              <w:t>33%</w:t>
            </w:r>
          </w:p>
        </w:tc>
      </w:tr>
      <w:tr w:rsidR="001769DD">
        <w:trPr>
          <w:trHeight w:val="54"/>
        </w:trPr>
        <w:tc>
          <w:tcPr>
            <w:tcW w:w="102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1769DD" w:rsidRDefault="004F7195">
            <w:pPr>
              <w:jc w:val="left"/>
            </w:pPr>
            <w:r>
              <w:rPr>
                <w:b/>
                <w:u w:val="single"/>
              </w:rPr>
              <w:t>Strefa płatnego parkowania w Piotrkowie Trybunalskim</w:t>
            </w:r>
            <w:r>
              <w:t xml:space="preserve"> zgodnie z uchwałą w sprawie ustalenia strefy płatnego parkowania na terenie Miasta Piotrkowa Trybunalskiego, określenia wysokości stawek i sposobu ich pobierania.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14" w:rsidRDefault="004F7195">
      <w:r>
        <w:separator/>
      </w:r>
    </w:p>
  </w:endnote>
  <w:endnote w:type="continuationSeparator" w:id="0">
    <w:p w:rsidR="00A05B14" w:rsidRDefault="004F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769D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769DD" w:rsidRDefault="004F7195">
          <w:pPr>
            <w:jc w:val="left"/>
            <w:rPr>
              <w:sz w:val="18"/>
            </w:rPr>
          </w:pPr>
          <w:r>
            <w:rPr>
              <w:sz w:val="18"/>
            </w:rPr>
            <w:t>Id: E2F61DDD-A02C-4664-9214-8C84B968E501.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769DD" w:rsidRDefault="004F71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0F4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769DD" w:rsidRDefault="001769D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769D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769DD" w:rsidRDefault="004F7195">
          <w:pPr>
            <w:jc w:val="left"/>
            <w:rPr>
              <w:sz w:val="18"/>
            </w:rPr>
          </w:pPr>
          <w:r>
            <w:rPr>
              <w:sz w:val="18"/>
            </w:rPr>
            <w:t>Id: E2F61DDD-A02C-4664-9214-8C84B968E501.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769DD" w:rsidRDefault="004F71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0F4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769DD" w:rsidRDefault="001769D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769DD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769DD" w:rsidRDefault="004F7195">
          <w:pPr>
            <w:jc w:val="left"/>
            <w:rPr>
              <w:sz w:val="18"/>
            </w:rPr>
          </w:pPr>
          <w:r>
            <w:rPr>
              <w:sz w:val="18"/>
            </w:rPr>
            <w:t>Id: E2F61DDD-A02C-4664-9214-8C84B968E501.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769DD" w:rsidRDefault="004F71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0F4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769DD" w:rsidRDefault="001769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14" w:rsidRDefault="004F7195">
      <w:r>
        <w:separator/>
      </w:r>
    </w:p>
  </w:footnote>
  <w:footnote w:type="continuationSeparator" w:id="0">
    <w:p w:rsidR="00A05B14" w:rsidRDefault="004F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420F"/>
    <w:rsid w:val="001769DD"/>
    <w:rsid w:val="004F7195"/>
    <w:rsid w:val="00A05B14"/>
    <w:rsid w:val="00A77B3E"/>
    <w:rsid w:val="00C50F4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18E869-DE58-46D2-8532-DFD4C68C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1153</Words>
  <Characters>7330</Characters>
  <Application>Microsoft Office Word</Application>
  <DocSecurity>0</DocSecurity>
  <Lines>61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XXXIII/459/21 z dnia 24 lutego 2021 r.</vt:lpstr>
      <vt:lpstr/>
    </vt:vector>
  </TitlesOfParts>
  <Company>Rada Miasta Piotrkowa Trybunalskiego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XXXIII/459/21 z dnia 24 lutego 2021 r.</dc:title>
  <dc:subject>w sprawie zmiany Uchwały Nr XXIV/352/20 Rady Miasta Piotrkowa Trybunalskiego z^dnia 15^lipca 2020^roku  w^sprawie przyjęcia Programu „Piotrkowska Karta Mieszkańca”</dc:subject>
  <dc:creator>Mroz_M</dc:creator>
  <cp:lastModifiedBy>Stawarz Izabela</cp:lastModifiedBy>
  <cp:revision>4</cp:revision>
  <dcterms:created xsi:type="dcterms:W3CDTF">2021-03-03T10:38:00Z</dcterms:created>
  <dcterms:modified xsi:type="dcterms:W3CDTF">2021-03-03T11:36:00Z</dcterms:modified>
  <cp:category>Akt prawny</cp:category>
</cp:coreProperties>
</file>