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0A" w:rsidRPr="00B02E0A" w:rsidRDefault="00B02E0A" w:rsidP="00CE0CD0">
      <w:pPr>
        <w:pStyle w:val="MiejscowoData"/>
        <w:spacing w:after="0"/>
        <w:rPr>
          <w:rFonts w:cs="Arial"/>
          <w:szCs w:val="24"/>
        </w:rPr>
      </w:pPr>
      <w:bookmarkStart w:id="0" w:name="_GoBack"/>
      <w:bookmarkEnd w:id="0"/>
      <w:r w:rsidRPr="00B02E0A">
        <w:rPr>
          <w:rFonts w:cs="Arial"/>
          <w:szCs w:val="24"/>
        </w:rPr>
        <w:t xml:space="preserve">Piotrków Trybunalski, </w:t>
      </w:r>
      <w:bookmarkStart w:id="1" w:name="ezdDataPodpisu"/>
      <w:bookmarkEnd w:id="1"/>
      <w:r w:rsidR="002C780D">
        <w:rPr>
          <w:rFonts w:cs="Arial"/>
          <w:szCs w:val="24"/>
        </w:rPr>
        <w:t>29-12-2020</w:t>
      </w:r>
    </w:p>
    <w:p w:rsidR="002C780D" w:rsidRPr="004D1693" w:rsidRDefault="002C780D" w:rsidP="002C780D">
      <w:pPr>
        <w:pStyle w:val="Piecztka1"/>
        <w:tabs>
          <w:tab w:val="left" w:pos="3135"/>
        </w:tabs>
        <w:jc w:val="left"/>
        <w:rPr>
          <w:rFonts w:ascii="Arial" w:hAnsi="Arial" w:cs="Arial"/>
        </w:rPr>
      </w:pPr>
      <w:r w:rsidRPr="004D1693">
        <w:rPr>
          <w:rFonts w:ascii="Arial" w:hAnsi="Arial" w:cs="Arial"/>
        </w:rPr>
        <w:t>PREZYDENT MIASTA</w:t>
      </w:r>
    </w:p>
    <w:p w:rsidR="002C780D" w:rsidRPr="004D1693" w:rsidRDefault="002C780D" w:rsidP="002C780D">
      <w:pPr>
        <w:pStyle w:val="Piecztka1"/>
        <w:tabs>
          <w:tab w:val="left" w:pos="3135"/>
        </w:tabs>
        <w:jc w:val="left"/>
        <w:rPr>
          <w:rFonts w:ascii="Arial" w:hAnsi="Arial" w:cs="Arial"/>
        </w:rPr>
      </w:pPr>
      <w:r w:rsidRPr="004D1693">
        <w:rPr>
          <w:rFonts w:ascii="Arial" w:hAnsi="Arial" w:cs="Arial"/>
        </w:rPr>
        <w:t>PIOTRKOWA TRYBUNALSKIEGO</w:t>
      </w:r>
      <w:r w:rsidRPr="004D1693">
        <w:rPr>
          <w:rFonts w:ascii="Arial" w:hAnsi="Arial" w:cs="Arial"/>
        </w:rPr>
        <w:tab/>
      </w:r>
    </w:p>
    <w:p w:rsidR="00B02E0A" w:rsidRPr="00B02E0A" w:rsidRDefault="00B02E0A" w:rsidP="00B02E0A">
      <w:pPr>
        <w:pStyle w:val="Piecztka1"/>
        <w:rPr>
          <w:rFonts w:ascii="Arial" w:hAnsi="Arial" w:cs="Arial"/>
          <w:sz w:val="24"/>
          <w:szCs w:val="24"/>
        </w:rPr>
      </w:pPr>
    </w:p>
    <w:p w:rsidR="00B02E0A" w:rsidRPr="00B02E0A" w:rsidRDefault="00B02E0A" w:rsidP="00B02E0A">
      <w:pPr>
        <w:pStyle w:val="Znaksprawy"/>
        <w:rPr>
          <w:rFonts w:cs="Arial"/>
          <w:szCs w:val="24"/>
        </w:rPr>
      </w:pPr>
      <w:bookmarkStart w:id="2" w:name="ezdSprawaZnak"/>
      <w:r w:rsidRPr="00B02E0A">
        <w:rPr>
          <w:rFonts w:cs="Arial"/>
          <w:szCs w:val="24"/>
        </w:rPr>
        <w:t>PKW.1711.13.2020</w:t>
      </w:r>
      <w:bookmarkEnd w:id="2"/>
    </w:p>
    <w:p w:rsidR="002C780D" w:rsidRDefault="002C780D" w:rsidP="00B02E0A">
      <w:pPr>
        <w:pStyle w:val="Adresat"/>
        <w:rPr>
          <w:rFonts w:cs="Arial"/>
          <w:b/>
          <w:sz w:val="24"/>
          <w:szCs w:val="24"/>
        </w:rPr>
      </w:pPr>
    </w:p>
    <w:p w:rsidR="002C780D" w:rsidRDefault="002C780D" w:rsidP="00B02E0A">
      <w:pPr>
        <w:pStyle w:val="Adresat"/>
        <w:rPr>
          <w:rFonts w:cs="Arial"/>
          <w:b/>
          <w:sz w:val="24"/>
          <w:szCs w:val="24"/>
        </w:rPr>
      </w:pPr>
    </w:p>
    <w:p w:rsidR="002C780D" w:rsidRDefault="00B02E0A" w:rsidP="00B02E0A">
      <w:pPr>
        <w:pStyle w:val="Adresat"/>
        <w:rPr>
          <w:rFonts w:cs="Arial"/>
          <w:b/>
          <w:sz w:val="24"/>
          <w:szCs w:val="24"/>
        </w:rPr>
      </w:pPr>
      <w:r w:rsidRPr="00B02E0A">
        <w:rPr>
          <w:rFonts w:cs="Arial"/>
          <w:b/>
          <w:sz w:val="24"/>
          <w:szCs w:val="24"/>
        </w:rPr>
        <w:t>Pani Anetta Szadkowska</w:t>
      </w:r>
      <w:r w:rsidRPr="00B02E0A">
        <w:rPr>
          <w:rFonts w:cs="Arial"/>
          <w:b/>
          <w:sz w:val="24"/>
          <w:szCs w:val="24"/>
        </w:rPr>
        <w:br/>
        <w:t xml:space="preserve">Dyrektor Poradni </w:t>
      </w:r>
    </w:p>
    <w:p w:rsidR="00B02E0A" w:rsidRPr="00B02E0A" w:rsidRDefault="00B02E0A" w:rsidP="00B02E0A">
      <w:pPr>
        <w:pStyle w:val="Adresat"/>
        <w:rPr>
          <w:rFonts w:cs="Arial"/>
          <w:sz w:val="24"/>
          <w:szCs w:val="24"/>
        </w:rPr>
      </w:pPr>
      <w:r w:rsidRPr="00B02E0A">
        <w:rPr>
          <w:rFonts w:cs="Arial"/>
          <w:b/>
          <w:sz w:val="24"/>
          <w:szCs w:val="24"/>
        </w:rPr>
        <w:t xml:space="preserve">Psychologiczno-Pedagogicznej </w:t>
      </w:r>
      <w:r w:rsidRPr="00B02E0A">
        <w:rPr>
          <w:rFonts w:cs="Arial"/>
          <w:b/>
          <w:sz w:val="24"/>
          <w:szCs w:val="24"/>
        </w:rPr>
        <w:br/>
        <w:t>w Piotrkowie Trybunalskim</w:t>
      </w:r>
      <w:r w:rsidRPr="00B02E0A">
        <w:rPr>
          <w:rFonts w:cs="Arial"/>
          <w:b/>
          <w:sz w:val="24"/>
          <w:szCs w:val="24"/>
        </w:rPr>
        <w:br/>
        <w:t>ul. R. Dmowskiego 47</w:t>
      </w:r>
      <w:r w:rsidRPr="00B02E0A">
        <w:rPr>
          <w:rFonts w:cs="Arial"/>
          <w:b/>
          <w:sz w:val="24"/>
          <w:szCs w:val="24"/>
        </w:rPr>
        <w:br/>
        <w:t>97-300 Piotrków Trybunalski</w:t>
      </w:r>
    </w:p>
    <w:p w:rsidR="002C780D" w:rsidRDefault="002C780D" w:rsidP="00B02E0A">
      <w:pPr>
        <w:pStyle w:val="Trepisma"/>
        <w:jc w:val="center"/>
        <w:rPr>
          <w:rFonts w:cs="Arial"/>
          <w:szCs w:val="24"/>
        </w:rPr>
      </w:pPr>
    </w:p>
    <w:p w:rsidR="00B02E0A" w:rsidRPr="00B02E0A" w:rsidRDefault="00B02E0A" w:rsidP="00B02E0A">
      <w:pPr>
        <w:pStyle w:val="Trepisma"/>
        <w:jc w:val="center"/>
        <w:rPr>
          <w:rFonts w:cs="Arial"/>
          <w:szCs w:val="24"/>
        </w:rPr>
      </w:pPr>
      <w:r w:rsidRPr="00B02E0A">
        <w:rPr>
          <w:rFonts w:cs="Arial"/>
          <w:szCs w:val="24"/>
        </w:rPr>
        <w:t>WYSTĄPIENIE POKONTROLNE</w:t>
      </w:r>
    </w:p>
    <w:p w:rsidR="00B02E0A" w:rsidRPr="00B02E0A" w:rsidRDefault="00B02E0A" w:rsidP="00B02E0A">
      <w:pPr>
        <w:pStyle w:val="Trepisma"/>
        <w:rPr>
          <w:rFonts w:cs="Arial"/>
          <w:szCs w:val="24"/>
        </w:rPr>
      </w:pPr>
    </w:p>
    <w:p w:rsidR="00B02E0A" w:rsidRPr="00B02E0A" w:rsidRDefault="00B02E0A" w:rsidP="00B02E0A">
      <w:pPr>
        <w:pStyle w:val="Trepisma"/>
        <w:rPr>
          <w:rFonts w:cs="Arial"/>
          <w:szCs w:val="24"/>
        </w:rPr>
      </w:pPr>
      <w:r w:rsidRPr="00B02E0A">
        <w:rPr>
          <w:rFonts w:cs="Arial"/>
          <w:szCs w:val="24"/>
        </w:rPr>
        <w:t xml:space="preserve">Działając na podstawie § 11 ust. 1 regulaminu przeprowadzania kontroli przez    pracowników Biura Kontroli Urzędu Miasta Piotrkowa Trybunalskiego, wprowadzonego zarządzeniem nr 16 Prezydenta Miasta Piotrkowa Trybunalskiego z dnia 22 stycznia 2020 r., Magdalena Kudyba ‒ inspektor w Biurze Kontroli przeprowadziła w dniach od 25.09.2020 r. do 21.10.2020 r. w Poradni Psychologiczno-Pedagogicznej w Piotrkowie Trybunalskim (w dalszej części wystąpienia zwanej „Poradnią” lub w skrócie „PPP”) planową kontrolę funkcjonowania mechanizmów kontroli wewnętrznej w zakresie operacji finansowych i gospodarczych w 2019 roku. </w:t>
      </w:r>
    </w:p>
    <w:p w:rsidR="00B02E0A" w:rsidRPr="00B02E0A" w:rsidRDefault="00B02E0A" w:rsidP="00B02E0A">
      <w:pPr>
        <w:pStyle w:val="Trepisma"/>
        <w:rPr>
          <w:rFonts w:cs="Arial"/>
          <w:szCs w:val="24"/>
        </w:rPr>
      </w:pPr>
      <w:r w:rsidRPr="00B02E0A">
        <w:rPr>
          <w:rFonts w:cs="Arial"/>
          <w:szCs w:val="24"/>
        </w:rPr>
        <w:t xml:space="preserve">Zgodnie z § 22 ust. 2 i 5 ww. regulaminu, przekazuję Pani niniejsze wystąpienie pokontrolne zawierające najistotniejsze ustalenia, w tym nieprawidłowości i uchybienia stwierdzone podczas sprawdzania zagadnień będących przedmiotem kontroli oraz zalecenia mające na celu ich usunięcie. Szczegółowe wyniki kontroli zostały zawarte w protokole kontroli podpisanym przez Panią bez zastrzeżeń w dniu 23 listopada 2020 r. </w:t>
      </w:r>
    </w:p>
    <w:p w:rsidR="00B02E0A" w:rsidRPr="00B02E0A" w:rsidRDefault="00B02E0A" w:rsidP="00B02E0A">
      <w:pPr>
        <w:pStyle w:val="Trepisma"/>
        <w:rPr>
          <w:rFonts w:cs="Arial"/>
          <w:szCs w:val="24"/>
        </w:rPr>
      </w:pPr>
      <w:r w:rsidRPr="00B02E0A">
        <w:rPr>
          <w:rFonts w:cs="Arial"/>
          <w:szCs w:val="24"/>
        </w:rPr>
        <w:lastRenderedPageBreak/>
        <w:t>W ramach czynności kontrolnych sprawdzono, czy kierowana przez Panią jednostka posiada opracowane na piśmie procedury w zakresie kontroli operacji finansowych i gospodarczych, czy są one zgodne ze standardami kontroli zarządczej i dostosowane do specyfiki jednostki. Kontrolą objęto uregulowania wewnętrzne, m.in.: regulamin organizacyjny, powierzenie obowiązków i odpowiedzialności głównemu księgowemu i innym pracownikom, zasady (politykę) rachunkowości, instrukcję obiegu i kontroli dokumentów finansowo-księgowych, instrukcję kasową. Następnie dokonano oceny skuteczności przyjętych mechanizmów kontroli poprzez zbadanie następujących zagadnień:</w:t>
      </w:r>
    </w:p>
    <w:p w:rsidR="00B02E0A" w:rsidRPr="00B02E0A" w:rsidRDefault="00B02E0A" w:rsidP="00B02E0A">
      <w:pPr>
        <w:pStyle w:val="Trepisma"/>
        <w:numPr>
          <w:ilvl w:val="0"/>
          <w:numId w:val="10"/>
        </w:numPr>
        <w:ind w:left="425" w:hanging="357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 xml:space="preserve">Funkcjonowanie kontroli wewnętrznej w zakresie operacji bezgotówkowych (prawidłowość konfiguracji uprawnień do dyspozycji środkami pieniężnymi na rachunkach bankowych, zgodność operacji bankowych z dokumentami źródłowymi oraz ewidencją księgową). </w:t>
      </w:r>
    </w:p>
    <w:p w:rsidR="00B02E0A" w:rsidRPr="00B02E0A" w:rsidRDefault="00B02E0A" w:rsidP="00B02E0A">
      <w:pPr>
        <w:pStyle w:val="Trepisma"/>
        <w:numPr>
          <w:ilvl w:val="0"/>
          <w:numId w:val="10"/>
        </w:numPr>
        <w:ind w:left="425" w:hanging="357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>Obieg dokumentów księgowych będących podstawą wydatków osobowych i rzeczowych (prawidłowość sporządzania dokumentów będących podstawą wypłaty wynagrodzeń, kontrola merytoryczna i formalno-rachunkowa dokumentów księgowych, wstępna kontrola głównego księgowego, zatwierdzanie do wypłaty przez kierownika jednostki lub osoby przez niego upoważnione, potwierdzenie zakwalifikowania dowodu do ujęcia w księgach rachunkowych - dekretacja).</w:t>
      </w:r>
    </w:p>
    <w:p w:rsidR="00B02E0A" w:rsidRPr="00B02E0A" w:rsidRDefault="00B02E0A" w:rsidP="00B02E0A">
      <w:pPr>
        <w:pStyle w:val="Trepisma"/>
        <w:numPr>
          <w:ilvl w:val="0"/>
          <w:numId w:val="10"/>
        </w:numPr>
        <w:ind w:left="425" w:hanging="357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>Gospodarka kasowa (sporządzanie raportów kasowych, dokumentowanie przyjęcia i wypłaty gotówki z kasy, ewidencja druków ścisłego zarachowania, inwentaryzacja kasy i druków ścisłego zarachowania).</w:t>
      </w:r>
    </w:p>
    <w:p w:rsidR="00B02E0A" w:rsidRPr="00B02E0A" w:rsidRDefault="00B02E0A" w:rsidP="00B02E0A">
      <w:pPr>
        <w:pStyle w:val="Trepisma"/>
        <w:numPr>
          <w:ilvl w:val="0"/>
          <w:numId w:val="10"/>
        </w:numPr>
        <w:ind w:left="425" w:hanging="357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>Przestrzeganie zasad zaciągania zobowiązań i dokonywania wydatków ze środków publicznych (terminowość regulowania zobowiązań, przestrzeganie przepisów dotyczących udzielania zamówień publicznych).</w:t>
      </w:r>
    </w:p>
    <w:p w:rsidR="00B02E0A" w:rsidRPr="00B02E0A" w:rsidRDefault="00B02E0A" w:rsidP="00B02E0A">
      <w:pPr>
        <w:pStyle w:val="Trepisma"/>
        <w:numPr>
          <w:ilvl w:val="0"/>
          <w:numId w:val="10"/>
        </w:numPr>
        <w:ind w:left="425" w:hanging="357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>Realizacja i ewidencja księgowa dochodów budżetowych (ewidencja szczegółowa do konta 221).</w:t>
      </w:r>
    </w:p>
    <w:p w:rsidR="00B02E0A" w:rsidRPr="00B02E0A" w:rsidRDefault="00B02E0A" w:rsidP="00B02E0A">
      <w:pPr>
        <w:pStyle w:val="Trepisma"/>
        <w:numPr>
          <w:ilvl w:val="0"/>
          <w:numId w:val="10"/>
        </w:numPr>
        <w:ind w:left="425" w:hanging="357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>Prowadzenie ksiąg rachunkowych jednostki, w tym: miejsce i sposób prowadzenia ksiąg, prawidłowość zapisów księgowych, zamykanie okresów sprawozdawczych oraz sporządzanie zestawień obrotów i sald, pra</w:t>
      </w:r>
      <w:r w:rsidRPr="00B02E0A">
        <w:rPr>
          <w:rFonts w:cs="Arial"/>
          <w:szCs w:val="24"/>
        </w:rPr>
        <w:lastRenderedPageBreak/>
        <w:t>widłowość funkcjonowania kont zespołu 1 i 2, zgodność danych wykazanych w sprawozdaniach budżetowych z ewidencją księgową i badanymi dokumentami.</w:t>
      </w:r>
    </w:p>
    <w:p w:rsidR="00B02E0A" w:rsidRPr="00B02E0A" w:rsidRDefault="00B02E0A" w:rsidP="00B02E0A">
      <w:pPr>
        <w:pStyle w:val="Trepisma"/>
        <w:rPr>
          <w:rFonts w:cs="Arial"/>
          <w:szCs w:val="24"/>
        </w:rPr>
      </w:pPr>
      <w:r w:rsidRPr="00B02E0A">
        <w:rPr>
          <w:rFonts w:cs="Arial"/>
          <w:szCs w:val="24"/>
        </w:rPr>
        <w:t>Na podstawie wyników przeprowadzonej kontroli, funkcjonowanie mechanizmów kontroli wewnętrznej w jednostce w 2019 r. ocenia się pozytywnie, mimo stwierdzenia nieprawidłowości i uchybień, główne dotyczących ustalania przepisów wewnętrznych, powierzenia obowiązków z zakresu gospodarki finansowej, prowadzenia ksiąg rachunkowych i sporządzania dokumentów księgowych, omówionych w dalszej części wystąpienia. Pozytywna ocena wynika z faktu, iż większość zadań dotyczących badanych obszarów jednostka wykonywała prawidłowo. Realizując postanowienia art. 10 ust. 2 ustawy z dnia 29 września 1994 r. o rachunkowości</w:t>
      </w:r>
      <w:r w:rsidRPr="00B02E0A">
        <w:rPr>
          <w:rStyle w:val="Odwoanieprzypisudolnego"/>
          <w:rFonts w:cs="Arial"/>
          <w:szCs w:val="24"/>
        </w:rPr>
        <w:footnoteReference w:id="1"/>
      </w:r>
      <w:r w:rsidRPr="00B02E0A">
        <w:rPr>
          <w:rFonts w:cs="Arial"/>
          <w:szCs w:val="24"/>
        </w:rPr>
        <w:t xml:space="preserve">, ustalono w formie pisemnej zasady rachunkowości, wraz z opisem obiegu i kontroli dokumentów finansowo-księgowych. Zdefiniowano mechanizmy kontroli dotyczące systemów informatycznych, służące zapewnieniu bezpieczeństwa danych. Pracownicy posiadali upoważnienia do przetwarzania danych osobowych. Badane dokumenty, będące podstawą dokonania wydatków zostały poddane kontroli merytorycznej i formalno-rachunkowej przez upoważnionych pracowników i zatwierdzone do wypłaty przez Dyrektora. Ustalenia kontroli w zakresie naliczenia i wypłaty wynagrodzeń nie wykazały nieprawidłowości. Stwierdzono zgodność numerów rachunków bankowych odbiorców, tytułów płatności oraz kwot operacji na wyciągach bankowych z dokumentami źródłowymi. Dochody budżetowe odprowadzano na właściwy rachunek UM. Dane wykazane w sprawozdaniach z wykonania planu wydatków i dochodów budżetowych za poszczególne okresy sprawozdawcze były zgodne z danymi z ewidencji księgowej na kontach analitycznych wydatków i dochodów konta 130 – „Rachunek bieżący”. Obrót gotówki w jednostce odbywał się zgodnie z obowiązującą instrukcją kasową i był prawidłowo dokumentowany. </w:t>
      </w:r>
    </w:p>
    <w:p w:rsidR="00B02E0A" w:rsidRPr="00B02E0A" w:rsidRDefault="00B02E0A" w:rsidP="00B02E0A">
      <w:pPr>
        <w:pStyle w:val="Trepisma"/>
        <w:rPr>
          <w:rFonts w:cs="Arial"/>
          <w:szCs w:val="24"/>
        </w:rPr>
      </w:pPr>
      <w:r w:rsidRPr="00B02E0A">
        <w:rPr>
          <w:rFonts w:cs="Arial"/>
          <w:szCs w:val="24"/>
        </w:rPr>
        <w:lastRenderedPageBreak/>
        <w:t xml:space="preserve">Poniżej podaję stwierdzone nieprawidłowości i uchybienia, a następnie wnioski, co do sposobu ich wyeliminowania. Odnośnie uchybień wyeliminowanych w trakcie kontroli lub o charakterze incydentalnym nie formułowano wniosków pokontrolnych. Uwagi odnoszące się do tych zagadnień zawarto w treści protokołu kontroli. </w:t>
      </w:r>
    </w:p>
    <w:p w:rsidR="00B02E0A" w:rsidRPr="00B02E0A" w:rsidRDefault="00B02E0A" w:rsidP="00B02E0A">
      <w:pPr>
        <w:pStyle w:val="Nagwek1"/>
        <w:numPr>
          <w:ilvl w:val="0"/>
          <w:numId w:val="0"/>
        </w:numPr>
        <w:contextualSpacing/>
      </w:pPr>
      <w:r w:rsidRPr="00B02E0A">
        <w:t>W zakresie uregulowań wewnętrznych</w:t>
      </w:r>
    </w:p>
    <w:p w:rsidR="00B02E0A" w:rsidRPr="00B02E0A" w:rsidRDefault="00B02E0A" w:rsidP="00B02E0A">
      <w:pPr>
        <w:pStyle w:val="Trepisma"/>
        <w:numPr>
          <w:ilvl w:val="0"/>
          <w:numId w:val="11"/>
        </w:numPr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>Zapisy Statutu Poradni zatwierdzonego uchwałą nr 22/2012/2013 Rady Pedagogicznej z dnia 17 czerwca 2013 r. w zakresie zadań na poszczególnych stanowiskach pracy nie zostały zaktualizowane, mimo zmian w strukturze organizacyjnej (likwidacja stanowiska wicedyrektora Poradni oraz stanowisk obsługowych: kierowcy-mechanika i robotnika do pracy lekkiej). Stosownie do zapisów rozdziału VIII § 3 ust. 2 Dyrektor Poradni powinien wystąpić z inicjatywą zmian wynikających z dostosowania Statutu do zmienionych warunków funkcjonowania Poradni.</w:t>
      </w:r>
    </w:p>
    <w:p w:rsidR="00B02E0A" w:rsidRPr="00B02E0A" w:rsidRDefault="00B02E0A" w:rsidP="00B02E0A">
      <w:pPr>
        <w:pStyle w:val="Trepisma"/>
        <w:numPr>
          <w:ilvl w:val="0"/>
          <w:numId w:val="11"/>
        </w:numPr>
        <w:rPr>
          <w:rFonts w:cs="Arial"/>
          <w:szCs w:val="24"/>
        </w:rPr>
      </w:pPr>
      <w:r w:rsidRPr="00B02E0A">
        <w:rPr>
          <w:rFonts w:cs="Arial"/>
          <w:szCs w:val="24"/>
        </w:rPr>
        <w:t>W regulaminie organizacyjnym, wprowadzonym zarządzeniem nr 37 Dyrektora Poradni z dnia 29.12.2017 r. określono łącznie zadania dla różnych stanowisk pracy – specjalisty i starszego referenta. Uchybia to ustanowionym przez Ministra Finansów standardom kontroli zarządczej</w:t>
      </w:r>
      <w:r w:rsidRPr="00B02E0A">
        <w:rPr>
          <w:rStyle w:val="Odwoanieprzypisudolnego"/>
          <w:rFonts w:cs="Arial"/>
          <w:szCs w:val="24"/>
        </w:rPr>
        <w:footnoteReference w:id="2"/>
      </w:r>
      <w:r w:rsidRPr="00B02E0A">
        <w:rPr>
          <w:rFonts w:cs="Arial"/>
          <w:szCs w:val="24"/>
        </w:rPr>
        <w:t xml:space="preserve"> (standard A3 „struktura organizacyjna” i C14.c „podział kluczowych obowiązków”). Regulamin organizacyjny jest podstawowym dokumentem wewnętrznym określającym i porządkującym strukturę organizacyjną i przydział zadań w jednostce i stanowi element kontroli zarządczej. Zapewnienie funkcjonowania kontroli zarządczej jest zadaniem kierownika jednostki, który określając strukturę organizacyjną powinien mieć na uwadze wskazówki zawarte w standardach kontroli zarządczej, zgodnie z którymi „struktura organizacyjna jednostki powinna być dostosowana do aktualnych celów i zadań”, a „aktualny zakres obowiązków, uprawnień i odpowiedzialności powinien być określony dla każdego pracownika”.</w:t>
      </w:r>
    </w:p>
    <w:p w:rsidR="00B02E0A" w:rsidRPr="00B02E0A" w:rsidRDefault="00B02E0A" w:rsidP="00B02E0A">
      <w:pPr>
        <w:pStyle w:val="Protokol"/>
        <w:numPr>
          <w:ilvl w:val="0"/>
          <w:numId w:val="11"/>
        </w:numPr>
        <w:ind w:left="425" w:hanging="425"/>
        <w:contextualSpacing w:val="0"/>
        <w:rPr>
          <w:sz w:val="24"/>
          <w:szCs w:val="24"/>
        </w:rPr>
      </w:pPr>
      <w:r w:rsidRPr="00B02E0A">
        <w:rPr>
          <w:sz w:val="24"/>
          <w:szCs w:val="24"/>
        </w:rPr>
        <w:lastRenderedPageBreak/>
        <w:t>Stwierdzono nieprawidłowości dotyczące ustalenia zasad (polityki) rachunkowości:</w:t>
      </w:r>
    </w:p>
    <w:p w:rsidR="00B02E0A" w:rsidRPr="00B02E0A" w:rsidRDefault="00B02E0A" w:rsidP="00B02E0A">
      <w:pPr>
        <w:pStyle w:val="Protokol"/>
        <w:numPr>
          <w:ilvl w:val="1"/>
          <w:numId w:val="11"/>
        </w:numPr>
        <w:spacing w:before="0"/>
        <w:ind w:left="709" w:hanging="283"/>
        <w:contextualSpacing w:val="0"/>
        <w:rPr>
          <w:sz w:val="24"/>
          <w:szCs w:val="24"/>
        </w:rPr>
      </w:pPr>
      <w:r w:rsidRPr="00B02E0A">
        <w:rPr>
          <w:sz w:val="24"/>
          <w:szCs w:val="24"/>
        </w:rPr>
        <w:t xml:space="preserve">Zasady rachunkowości wprowadzone zarządzeniem nr 20/2016 Dyrektora Poradni z dnia 20 grudnia 2016 r nie określały, czy księgi rachunkowe na koniec roku obrotowego są drukowane, czy przenoszone na informatyczny nośnik danych. Art. 13 ust. 6 ustawy o rachunkowości wskazuje na obowiązek drukowania ksiąg rachunkowych nie później, niż na koniec roku obrotowego, przy czym za równoważne z wydrukiem uznaje się przeniesienie treści ksiąg rachunkowych na informatyczny nośnik danych, zapewniający trwałość zapisu informacji, przez czas nie krótszy od wymaganego dla przechowywania ksiąg rachunkowych. Tym samym decyzję, w jakiej formie przechowywane będą księgi rachunkowe, pozostawiono kierownikowi jednostki, który powinien to określić w zasadach rachunkowości. </w:t>
      </w:r>
    </w:p>
    <w:p w:rsidR="00B02E0A" w:rsidRPr="00B02E0A" w:rsidRDefault="00B02E0A" w:rsidP="00B02E0A">
      <w:pPr>
        <w:pStyle w:val="Protokol"/>
        <w:numPr>
          <w:ilvl w:val="1"/>
          <w:numId w:val="11"/>
        </w:numPr>
        <w:spacing w:before="0"/>
        <w:ind w:left="709" w:hanging="283"/>
        <w:contextualSpacing w:val="0"/>
        <w:rPr>
          <w:sz w:val="24"/>
          <w:szCs w:val="24"/>
        </w:rPr>
      </w:pPr>
      <w:r w:rsidRPr="00B02E0A">
        <w:rPr>
          <w:sz w:val="24"/>
          <w:szCs w:val="24"/>
        </w:rPr>
        <w:t>Wskazana w zasadach rachunkowości data ostatecznego zamknięcia ksiąg rachunkowych, tj. 30 kwietnia roku następnego, była niezgodna z rozporządzeniem Ministra Rozwoju i Finansów z 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Polskiej.</w:t>
      </w:r>
      <w:r w:rsidRPr="00B02E0A">
        <w:rPr>
          <w:rStyle w:val="Odwoanieprzypisudolnego"/>
          <w:sz w:val="24"/>
          <w:szCs w:val="24"/>
        </w:rPr>
        <w:footnoteReference w:id="3"/>
      </w:r>
      <w:r w:rsidRPr="00B02E0A">
        <w:rPr>
          <w:sz w:val="24"/>
          <w:szCs w:val="24"/>
        </w:rPr>
        <w:t xml:space="preserve"> Powyższy zapis przekładał się na błędną praktykę – księgi zostały zamknięte w terminie niezgodnym z ww. rozporządzeniem. </w:t>
      </w:r>
    </w:p>
    <w:p w:rsidR="00B02E0A" w:rsidRPr="00B02E0A" w:rsidRDefault="00B02E0A" w:rsidP="00B02E0A">
      <w:pPr>
        <w:pStyle w:val="Trepisma"/>
        <w:numPr>
          <w:ilvl w:val="1"/>
          <w:numId w:val="11"/>
        </w:numPr>
        <w:ind w:left="709" w:hanging="283"/>
        <w:rPr>
          <w:rFonts w:cs="Arial"/>
          <w:szCs w:val="24"/>
        </w:rPr>
      </w:pPr>
      <w:r w:rsidRPr="00B02E0A">
        <w:rPr>
          <w:rFonts w:cs="Arial"/>
          <w:szCs w:val="24"/>
        </w:rPr>
        <w:t xml:space="preserve">Ustalony w programie Vulcan Księgowość Optivum zakładowy plan kont był niezgodny z przyjętymi przez jednostkę zasadami rachunkowości w zakresie budowy i funkcjonowania kont, gdyż zawierał konto syntetyczne o symbolu 225-0003 – „Rozliczenie podatku VAT” (oznaczone znakami właściwymi dla kont analitycznych). W polityce rachunkowości konto 225-0003 było wymienione w opisie konta 225, jako jedno z kont pomocniczych. Powyższe było wynikiem błędu podczas ustalania struktury kont w programie księgowym i skutkowało </w:t>
      </w:r>
      <w:r w:rsidRPr="00B02E0A">
        <w:rPr>
          <w:rFonts w:cs="Arial"/>
          <w:szCs w:val="24"/>
        </w:rPr>
        <w:lastRenderedPageBreak/>
        <w:t xml:space="preserve">błędnie sporządzonymi zestawieniami obrotów i sald kont księgi głównej, które zawierały obroty i salda konta 225 oraz obroty i salda konta 225-0003, przy czym wykazane na koncie 225 obroty i salda nie były równe sumie obrotów i sald wszystkich kont analitycznych, ale były zgodne z obrotami i saldami tylko jednego konta analitycznego, tj. 225-0001 –„Urząd Skarbowy”, służącego do ewidencji podatku dochodowego od osób fizycznych, z pominięciem obrotów i sald dotyczących operacji związanych z rozliczeniem podatku VAT. </w:t>
      </w:r>
    </w:p>
    <w:p w:rsidR="00B02E0A" w:rsidRPr="00B02E0A" w:rsidRDefault="00B02E0A" w:rsidP="00B02E0A">
      <w:pPr>
        <w:pStyle w:val="Trepisma"/>
        <w:ind w:left="425"/>
        <w:rPr>
          <w:rFonts w:cs="Arial"/>
          <w:szCs w:val="24"/>
        </w:rPr>
      </w:pPr>
      <w:r w:rsidRPr="00B02E0A">
        <w:rPr>
          <w:rFonts w:cs="Arial"/>
          <w:szCs w:val="24"/>
        </w:rPr>
        <w:t>Osobą odpowiedzialną za ustalenie i aktualizowanie Zakładowego Planu Kont jest kierownik jednostki, co wynika z art. 10 ust. 2 ustawy z dnia 29 września 1994 r. o rachunkowości. W świetle przepisów art. 10 ust. 1 pkt 3 tej ustawy dokumentacja zasad (polityki) rachunkowości powinna opisywać m.in. sposób prowadzenia ksiąg rachunkowych, w tym co najmniej: zakładowy plan kont, ustalający wykaz kont księgi głównej, przyjęte zasady klasyfikacji zdarzeń, zasady prowadzenia kont ksiąg pomocniczych oraz ich powiązania z kontami księgi głównej. W związku z tym, że księgi rachunkowe prowadzone były w programie komputerowym, ustalony w nim zakładowy plan kont powinien być zgodny z Zakładowym Planem Kont ustalonym przez kierownika jednostki. Ponadto, mając na uwadze to, że zgodnie z przywołanym art. 10 ust. 2 ustawy o rachunkowości, dokumentacja systemu rachunkowości powinna być ustalona w formie pisemnej, wydruk zakładowego planu kont z programu Vulcan Księgowość Optivum powinien stanowić część tej dokumentacji.</w:t>
      </w:r>
    </w:p>
    <w:p w:rsidR="00B02E0A" w:rsidRPr="00B02E0A" w:rsidRDefault="00B02E0A" w:rsidP="00B02E0A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cs="Arial"/>
          <w:szCs w:val="24"/>
        </w:rPr>
      </w:pPr>
      <w:r w:rsidRPr="00B02E0A">
        <w:rPr>
          <w:rFonts w:cs="Arial"/>
          <w:szCs w:val="24"/>
        </w:rPr>
        <w:t>Instrukcja obiegu i kontroli dokumentów finansowo-księgowych wprowadzona zarządzeniem nr 33/2017 Dyrektora Poradni z dnia 27 grudnia 2017 r. była zbyt ogólna i niedostosowana do celów i zadań jednostki, w szczególności:</w:t>
      </w:r>
    </w:p>
    <w:p w:rsidR="00B02E0A" w:rsidRPr="00B02E0A" w:rsidRDefault="00B02E0A" w:rsidP="00B02E0A">
      <w:pPr>
        <w:pStyle w:val="NormalnyWeb"/>
        <w:numPr>
          <w:ilvl w:val="1"/>
          <w:numId w:val="11"/>
        </w:numPr>
        <w:shd w:val="clear" w:color="auto" w:fill="FFFFFF"/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B02E0A">
        <w:rPr>
          <w:rFonts w:ascii="Arial" w:hAnsi="Arial" w:cs="Arial"/>
        </w:rPr>
        <w:t>nie zawierała ścieżki obiegu dokumentów dotyczących operacji kasowych, zakupu towarów, materiałów i usług, ruchu majątku trwałego, wewnętrznych dokumentów rozliczeniowych, ograniczając się jedynie do wymienienia tych dokumentów;</w:t>
      </w:r>
    </w:p>
    <w:p w:rsidR="00B02E0A" w:rsidRPr="00B02E0A" w:rsidRDefault="00B02E0A" w:rsidP="00B02E0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851"/>
        <w:jc w:val="both"/>
        <w:rPr>
          <w:rFonts w:eastAsia="Times New Roman" w:cs="Arial"/>
          <w:color w:val="000000"/>
          <w:szCs w:val="24"/>
          <w:lang w:eastAsia="pl-PL"/>
        </w:rPr>
      </w:pPr>
      <w:r w:rsidRPr="00B02E0A">
        <w:rPr>
          <w:rFonts w:cs="Arial"/>
          <w:szCs w:val="24"/>
        </w:rPr>
        <w:lastRenderedPageBreak/>
        <w:t xml:space="preserve">nie określała zasad i trybu przeprowadzania i </w:t>
      </w:r>
      <w:r w:rsidRPr="00B02E0A">
        <w:rPr>
          <w:rFonts w:eastAsia="Times New Roman" w:cs="Arial"/>
          <w:color w:val="000000"/>
          <w:szCs w:val="24"/>
          <w:lang w:eastAsia="pl-PL"/>
        </w:rPr>
        <w:t>dokumentowania kontroli wstępnej dowodów księgowych w odniesieniu do kontroli sprawowanej przez głównego księgowego. W świetle </w:t>
      </w:r>
      <w:hyperlink r:id="rId7" w:tgtFrame="_blank" w:tooltip="art. 54 - Ustawa z dnia 27.08.2009 r. o finansach publicznych - przepisy.gofin.pl" w:history="1">
        <w:r w:rsidRPr="00B02E0A">
          <w:rPr>
            <w:rFonts w:eastAsia="Times New Roman" w:cs="Arial"/>
            <w:bCs/>
            <w:szCs w:val="24"/>
            <w:lang w:eastAsia="pl-PL"/>
          </w:rPr>
          <w:t>art. 54 ust. 1 pkt 3 i ust. 3</w:t>
        </w:r>
      </w:hyperlink>
      <w:r w:rsidRPr="00B02E0A">
        <w:rPr>
          <w:rFonts w:eastAsia="Times New Roman" w:cs="Arial"/>
          <w:szCs w:val="24"/>
          <w:lang w:eastAsia="pl-PL"/>
        </w:rPr>
        <w:t> u</w:t>
      </w:r>
      <w:r w:rsidRPr="00B02E0A">
        <w:rPr>
          <w:rFonts w:eastAsia="Times New Roman" w:cs="Arial"/>
          <w:color w:val="000000"/>
          <w:szCs w:val="24"/>
          <w:lang w:eastAsia="pl-PL"/>
        </w:rPr>
        <w:t>stawy o finansach publicznych, główny księgowy powinien dokonywać wstępnej kontroli:</w:t>
      </w:r>
    </w:p>
    <w:p w:rsidR="00B02E0A" w:rsidRPr="00B02E0A" w:rsidRDefault="00B02E0A" w:rsidP="00B02E0A">
      <w:pPr>
        <w:numPr>
          <w:ilvl w:val="0"/>
          <w:numId w:val="15"/>
        </w:numPr>
        <w:shd w:val="clear" w:color="auto" w:fill="FFFFFF"/>
        <w:tabs>
          <w:tab w:val="clear" w:pos="720"/>
          <w:tab w:val="num" w:pos="1276"/>
        </w:tabs>
        <w:spacing w:after="0" w:line="360" w:lineRule="auto"/>
        <w:ind w:left="1276" w:hanging="425"/>
        <w:contextualSpacing/>
        <w:jc w:val="both"/>
        <w:rPr>
          <w:rFonts w:eastAsia="Times New Roman" w:cs="Arial"/>
          <w:color w:val="000000"/>
          <w:szCs w:val="24"/>
          <w:lang w:eastAsia="pl-PL"/>
        </w:rPr>
      </w:pPr>
      <w:r w:rsidRPr="00B02E0A">
        <w:rPr>
          <w:rFonts w:eastAsia="Times New Roman" w:cs="Arial"/>
          <w:color w:val="000000"/>
          <w:szCs w:val="24"/>
          <w:lang w:eastAsia="pl-PL"/>
        </w:rPr>
        <w:t>zgodności operacji gospodarczych i finansowych z planem finansowym,</w:t>
      </w:r>
    </w:p>
    <w:p w:rsidR="00B02E0A" w:rsidRPr="00B02E0A" w:rsidRDefault="00B02E0A" w:rsidP="00B02E0A">
      <w:pPr>
        <w:numPr>
          <w:ilvl w:val="0"/>
          <w:numId w:val="15"/>
        </w:numPr>
        <w:shd w:val="clear" w:color="auto" w:fill="FFFFFF"/>
        <w:tabs>
          <w:tab w:val="clear" w:pos="720"/>
          <w:tab w:val="num" w:pos="1276"/>
        </w:tabs>
        <w:spacing w:after="0" w:line="360" w:lineRule="auto"/>
        <w:ind w:left="1276" w:hanging="425"/>
        <w:contextualSpacing/>
        <w:jc w:val="both"/>
        <w:rPr>
          <w:rFonts w:eastAsia="Times New Roman" w:cs="Arial"/>
          <w:color w:val="000000"/>
          <w:szCs w:val="24"/>
          <w:lang w:eastAsia="pl-PL"/>
        </w:rPr>
      </w:pPr>
      <w:r w:rsidRPr="00B02E0A">
        <w:rPr>
          <w:rFonts w:eastAsia="Times New Roman" w:cs="Arial"/>
          <w:color w:val="000000"/>
          <w:szCs w:val="24"/>
          <w:lang w:eastAsia="pl-PL"/>
        </w:rPr>
        <w:t>kompletności i rzetelności dokumentów dotyczących operacji gospodarczych i finansowych;</w:t>
      </w:r>
    </w:p>
    <w:p w:rsidR="00B02E0A" w:rsidRPr="00B02E0A" w:rsidRDefault="00B02E0A" w:rsidP="00B02E0A">
      <w:pPr>
        <w:shd w:val="clear" w:color="auto" w:fill="FFFFFF"/>
        <w:spacing w:after="0" w:line="360" w:lineRule="auto"/>
        <w:ind w:left="714"/>
        <w:contextualSpacing/>
        <w:jc w:val="both"/>
        <w:rPr>
          <w:rFonts w:eastAsia="Times New Roman" w:cs="Arial"/>
          <w:color w:val="000000"/>
          <w:szCs w:val="24"/>
          <w:lang w:eastAsia="pl-PL"/>
        </w:rPr>
      </w:pPr>
      <w:r w:rsidRPr="00B02E0A">
        <w:rPr>
          <w:rFonts w:eastAsia="Times New Roman" w:cs="Arial"/>
          <w:color w:val="000000"/>
          <w:szCs w:val="24"/>
          <w:lang w:eastAsia="pl-PL"/>
        </w:rPr>
        <w:t>Dowodem dokonania tej kontroli jest jego podpis złożony na dokumentach dotyczących danej operacji obok podpisu pracownika właściwego rzeczowo. Podpis ten oznacza, że zobowiązania wynikające z operacji mieszczą się w planie finansowym jednostki oraz że nie zgłasza on zastrzeżeń do:</w:t>
      </w:r>
    </w:p>
    <w:p w:rsidR="00B02E0A" w:rsidRPr="00B02E0A" w:rsidRDefault="00B02E0A" w:rsidP="00B02E0A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  <w:tab w:val="num" w:pos="1276"/>
        </w:tabs>
        <w:spacing w:after="0" w:line="360" w:lineRule="auto"/>
        <w:ind w:left="1276"/>
        <w:jc w:val="both"/>
        <w:rPr>
          <w:rFonts w:eastAsia="Times New Roman" w:cs="Arial"/>
          <w:color w:val="000000"/>
          <w:szCs w:val="24"/>
          <w:lang w:eastAsia="pl-PL"/>
        </w:rPr>
      </w:pPr>
      <w:r w:rsidRPr="00B02E0A">
        <w:rPr>
          <w:rFonts w:eastAsia="Times New Roman" w:cs="Arial"/>
          <w:color w:val="000000"/>
          <w:szCs w:val="24"/>
          <w:lang w:eastAsia="pl-PL"/>
        </w:rPr>
        <w:t>przedstawionej przez właściwych rzeczowo pracowników oceny prawidłowości tej operacji i jej zgodności z prawem,</w:t>
      </w:r>
    </w:p>
    <w:p w:rsidR="00B02E0A" w:rsidRPr="00B02E0A" w:rsidRDefault="00B02E0A" w:rsidP="00B02E0A">
      <w:pPr>
        <w:numPr>
          <w:ilvl w:val="0"/>
          <w:numId w:val="16"/>
        </w:numPr>
        <w:shd w:val="clear" w:color="auto" w:fill="FFFFFF"/>
        <w:tabs>
          <w:tab w:val="clear" w:pos="720"/>
          <w:tab w:val="num" w:pos="1276"/>
        </w:tabs>
        <w:spacing w:before="100" w:beforeAutospacing="1" w:after="0" w:line="360" w:lineRule="auto"/>
        <w:ind w:left="1276"/>
        <w:jc w:val="both"/>
        <w:rPr>
          <w:rFonts w:eastAsia="Times New Roman" w:cs="Arial"/>
          <w:color w:val="000000"/>
          <w:szCs w:val="24"/>
          <w:lang w:eastAsia="pl-PL"/>
        </w:rPr>
      </w:pPr>
      <w:r w:rsidRPr="00B02E0A">
        <w:rPr>
          <w:rFonts w:eastAsia="Times New Roman" w:cs="Arial"/>
          <w:color w:val="000000"/>
          <w:szCs w:val="24"/>
          <w:lang w:eastAsia="pl-PL"/>
        </w:rPr>
        <w:t>kompletności oraz formalno-rachunkowej rzetelności i prawidłowości dokumentów dotyczących tej operacji,</w:t>
      </w:r>
    </w:p>
    <w:p w:rsidR="00B02E0A" w:rsidRPr="00B02E0A" w:rsidRDefault="00B02E0A" w:rsidP="00B02E0A">
      <w:pPr>
        <w:pStyle w:val="NormalnyWeb"/>
        <w:numPr>
          <w:ilvl w:val="1"/>
          <w:numId w:val="11"/>
        </w:numPr>
        <w:shd w:val="clear" w:color="auto" w:fill="FFFFFF"/>
        <w:spacing w:after="0" w:line="360" w:lineRule="auto"/>
        <w:ind w:left="709"/>
        <w:contextualSpacing/>
        <w:jc w:val="both"/>
        <w:rPr>
          <w:rFonts w:ascii="Arial" w:hAnsi="Arial" w:cs="Arial"/>
        </w:rPr>
      </w:pPr>
      <w:r w:rsidRPr="00B02E0A">
        <w:rPr>
          <w:rFonts w:ascii="Arial" w:hAnsi="Arial" w:cs="Arial"/>
        </w:rPr>
        <w:t>w załączonym do instrukcji wykazie osób oraz wzorów podpisów osób upoważnionych do dokonywania poszczególnych rodzajów kontroli i zatwierdzania do wypłaty dokumentów księgowych, nie uwzględniono wszystkich rodzajów dowodów księgowych stosowanych przez jednostkę np. list płac;</w:t>
      </w:r>
      <w:r w:rsidRPr="00B02E0A">
        <w:rPr>
          <w:rStyle w:val="Odwoanieprzypisudolnego"/>
          <w:rFonts w:ascii="Arial" w:hAnsi="Arial" w:cs="Arial"/>
        </w:rPr>
        <w:footnoteReference w:id="4"/>
      </w:r>
      <w:r w:rsidRPr="00B02E0A">
        <w:rPr>
          <w:rFonts w:ascii="Arial" w:hAnsi="Arial" w:cs="Arial"/>
        </w:rPr>
        <w:t xml:space="preserve"> </w:t>
      </w:r>
    </w:p>
    <w:p w:rsidR="00B02E0A" w:rsidRPr="00B02E0A" w:rsidRDefault="00B02E0A" w:rsidP="00B02E0A">
      <w:pPr>
        <w:pStyle w:val="NormalnyWeb"/>
        <w:numPr>
          <w:ilvl w:val="1"/>
          <w:numId w:val="11"/>
        </w:numPr>
        <w:shd w:val="clear" w:color="auto" w:fill="FFFFFF"/>
        <w:spacing w:after="0" w:line="360" w:lineRule="auto"/>
        <w:ind w:left="709"/>
        <w:contextualSpacing/>
        <w:jc w:val="both"/>
        <w:rPr>
          <w:rFonts w:ascii="Arial" w:hAnsi="Arial" w:cs="Arial"/>
        </w:rPr>
      </w:pPr>
      <w:r w:rsidRPr="00B02E0A">
        <w:rPr>
          <w:rFonts w:ascii="Arial" w:hAnsi="Arial" w:cs="Arial"/>
        </w:rPr>
        <w:t>instrukcja nie zawierała wzorów pieczęci stosowanych w jednostce na dokumentach księgowych.</w:t>
      </w:r>
    </w:p>
    <w:p w:rsidR="00B02E0A" w:rsidRPr="00B02E0A" w:rsidRDefault="00B02E0A" w:rsidP="00B02E0A">
      <w:pPr>
        <w:shd w:val="clear" w:color="auto" w:fill="FFFFFF"/>
        <w:spacing w:after="0" w:line="360" w:lineRule="auto"/>
        <w:ind w:left="426"/>
        <w:jc w:val="both"/>
        <w:rPr>
          <w:rFonts w:eastAsia="Times New Roman" w:cs="Arial"/>
          <w:color w:val="000000"/>
          <w:szCs w:val="24"/>
          <w:lang w:eastAsia="pl-PL"/>
        </w:rPr>
      </w:pPr>
      <w:r w:rsidRPr="00B02E0A">
        <w:rPr>
          <w:rFonts w:cs="Arial"/>
          <w:szCs w:val="24"/>
        </w:rPr>
        <w:t xml:space="preserve">Instrukcja obiegu i kontroli dokumentów finansowo księgowych jest nieobligatoryjną częścią zasad rachunkowości i jednocześnie częścią dokumentacji opisującej przyjęty w jednostce sektora finansów publicznych system kontroli zarządczej w zakresie prowadzenia gospodarki finansowej i rachunkowości, której zapewnienie jest obowiązkiem kierownika </w:t>
      </w:r>
      <w:r w:rsidRPr="00B02E0A">
        <w:rPr>
          <w:rFonts w:cs="Arial"/>
          <w:szCs w:val="24"/>
        </w:rPr>
        <w:lastRenderedPageBreak/>
        <w:t>jednostki wynikającym z art. 69 ustawy z 27 sierpnia 2009 r. o finansach publicznych.</w:t>
      </w:r>
      <w:r w:rsidRPr="00B02E0A">
        <w:rPr>
          <w:rFonts w:cs="Arial"/>
          <w:szCs w:val="24"/>
          <w:vertAlign w:val="superscript"/>
        </w:rPr>
        <w:footnoteReference w:id="5"/>
      </w:r>
    </w:p>
    <w:p w:rsidR="00B02E0A" w:rsidRPr="00B02E0A" w:rsidRDefault="00B02E0A" w:rsidP="00B02E0A">
      <w:pPr>
        <w:pStyle w:val="Trepisma"/>
        <w:numPr>
          <w:ilvl w:val="0"/>
          <w:numId w:val="11"/>
        </w:numPr>
        <w:spacing w:before="0"/>
        <w:ind w:hanging="397"/>
        <w:rPr>
          <w:rFonts w:cs="Arial"/>
          <w:szCs w:val="24"/>
        </w:rPr>
      </w:pPr>
      <w:r w:rsidRPr="00B02E0A">
        <w:rPr>
          <w:rFonts w:cs="Arial"/>
          <w:szCs w:val="24"/>
        </w:rPr>
        <w:t>Ustalony w jednostce Regulamin udzielania zamówień publicznych o wartości do 30 000 euro wprowadzony zarządzeniem nr 3/2015 Dyrektora PPP z dnia 23 kwietnia 2015 r. nie był dostosowany do celów i zadań oraz wielkości jednostki, gdyż określał próg wartości zamówień, poniżej którego nie obowiązywały zasady w nim określone, na kwotę 5 000 euro. Analiza zakupów dokonanych w 2019 roku wykazała, że jednostka nie udzieliła zamówień publicznych o wartości powyżej 5.000 euro. Dodatkowo regulamin dopuszczał dowolność w zakresie stosowania określonych w nim procedur, np. możliwość przeprowadzenia postępowania o udzielenie zamówienia publicznego o wyższej wartości również w oparciu o procedury przewidziane dla niższych wartości zamówienia. Regulamin nie spełniał więc swojej roli, jako mechanizmu kontroli w zakresie wydatkowania środków zgodnie z zasadami określonymi w art. 44 ust. 3 ustawy o finansach publicznych.</w:t>
      </w:r>
    </w:p>
    <w:p w:rsidR="00B02E0A" w:rsidRPr="00B02E0A" w:rsidRDefault="00B02E0A" w:rsidP="00B02E0A">
      <w:pPr>
        <w:pStyle w:val="Nagwek1"/>
        <w:numPr>
          <w:ilvl w:val="0"/>
          <w:numId w:val="0"/>
        </w:numPr>
      </w:pPr>
      <w:r w:rsidRPr="00B02E0A">
        <w:t>W zakresie powierzenia obowiązków dotyczących gospodarki finansowej</w:t>
      </w:r>
    </w:p>
    <w:p w:rsidR="00B02E0A" w:rsidRPr="00B02E0A" w:rsidRDefault="00B02E0A" w:rsidP="00B02E0A">
      <w:pPr>
        <w:pStyle w:val="Trepisma"/>
        <w:numPr>
          <w:ilvl w:val="0"/>
          <w:numId w:val="11"/>
        </w:numPr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>Obowiązujące w badanym roku, do dnia 01.09.2019 r., powierzenie obowiązków i odpowiedzialności głównego księgowego</w:t>
      </w:r>
      <w:r w:rsidRPr="00B02E0A">
        <w:rPr>
          <w:rStyle w:val="Odwoanieprzypisudolnego"/>
          <w:rFonts w:cs="Arial"/>
          <w:szCs w:val="24"/>
        </w:rPr>
        <w:footnoteReference w:id="6"/>
      </w:r>
      <w:r w:rsidRPr="00B02E0A">
        <w:rPr>
          <w:rFonts w:cs="Arial"/>
          <w:szCs w:val="24"/>
        </w:rPr>
        <w:t xml:space="preserve"> nie obejmowało wszystkich obowiązków wynikających z art. 54 ust. 1 ustawy o finansach publicznych – w powierzeniu nie wymieniono zadania wykonywania dyspozycji środkami pieniężnymi. </w:t>
      </w:r>
    </w:p>
    <w:p w:rsidR="00B02E0A" w:rsidRPr="00B02E0A" w:rsidRDefault="00B02E0A" w:rsidP="00B02E0A">
      <w:pPr>
        <w:pStyle w:val="Trepisma"/>
        <w:ind w:left="397"/>
        <w:rPr>
          <w:rFonts w:cs="Arial"/>
          <w:szCs w:val="24"/>
        </w:rPr>
      </w:pPr>
      <w:r w:rsidRPr="00B02E0A">
        <w:rPr>
          <w:rFonts w:cs="Arial"/>
          <w:szCs w:val="24"/>
        </w:rPr>
        <w:t>Zakres obowiązków powierzanych głównemu księgowemu jednostki sektora finansów publicznych wynika bezpośrednio z przywołanego powyżej artykułu ustawy o finansach publicznych, który wiąże status prawny głównego księgowego z przekazaniem pracownikowi jednostki enumeratywnie określonych obowiązków i odpowiedzialności, obejmujących:</w:t>
      </w:r>
    </w:p>
    <w:p w:rsidR="00B02E0A" w:rsidRPr="00B02E0A" w:rsidRDefault="00B02E0A" w:rsidP="00B02E0A">
      <w:pPr>
        <w:pStyle w:val="Trepisma"/>
        <w:numPr>
          <w:ilvl w:val="0"/>
          <w:numId w:val="13"/>
        </w:numPr>
        <w:ind w:left="851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lastRenderedPageBreak/>
        <w:t>prowadzenie rachunkowości jednostki,</w:t>
      </w:r>
    </w:p>
    <w:p w:rsidR="00B02E0A" w:rsidRPr="00B02E0A" w:rsidRDefault="00B02E0A" w:rsidP="00B02E0A">
      <w:pPr>
        <w:pStyle w:val="Trepisma"/>
        <w:numPr>
          <w:ilvl w:val="0"/>
          <w:numId w:val="13"/>
        </w:numPr>
        <w:ind w:left="851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>wykonywanie dyspozycji środkami pieniężnymi,</w:t>
      </w:r>
    </w:p>
    <w:p w:rsidR="00B02E0A" w:rsidRPr="00B02E0A" w:rsidRDefault="00B02E0A" w:rsidP="00B02E0A">
      <w:pPr>
        <w:pStyle w:val="Trepisma"/>
        <w:numPr>
          <w:ilvl w:val="0"/>
          <w:numId w:val="13"/>
        </w:numPr>
        <w:ind w:left="851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>dokonywanie wstępnej kontroli:</w:t>
      </w:r>
    </w:p>
    <w:p w:rsidR="00B02E0A" w:rsidRPr="00B02E0A" w:rsidRDefault="00B02E0A" w:rsidP="00B02E0A">
      <w:pPr>
        <w:pStyle w:val="Trepisma"/>
        <w:numPr>
          <w:ilvl w:val="1"/>
          <w:numId w:val="14"/>
        </w:numPr>
        <w:ind w:left="1276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>zgodności operacji gospodarczych i finansowych z planem finansowym;</w:t>
      </w:r>
    </w:p>
    <w:p w:rsidR="00B02E0A" w:rsidRPr="00B02E0A" w:rsidRDefault="00B02E0A" w:rsidP="00B02E0A">
      <w:pPr>
        <w:pStyle w:val="Trepisma"/>
        <w:numPr>
          <w:ilvl w:val="1"/>
          <w:numId w:val="14"/>
        </w:numPr>
        <w:ind w:left="1276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>kompletności i rzetelności dokumentów dotyczących operacji gospodarczych i finansowych.</w:t>
      </w:r>
    </w:p>
    <w:p w:rsidR="00B02E0A" w:rsidRPr="00B02E0A" w:rsidRDefault="00B02E0A" w:rsidP="00B02E0A">
      <w:pPr>
        <w:pStyle w:val="Trepisma"/>
        <w:ind w:left="426"/>
        <w:rPr>
          <w:rFonts w:cs="Arial"/>
          <w:szCs w:val="24"/>
        </w:rPr>
      </w:pPr>
      <w:r w:rsidRPr="00B02E0A">
        <w:rPr>
          <w:rFonts w:cs="Arial"/>
          <w:szCs w:val="24"/>
        </w:rPr>
        <w:t>Powierzenie głównemu księgowemu obowiązków określonych w art. 54 ust. 1 ustawy o finansach publicznych jest obowiązkiem kierownika jednostki i stanowi niezbędne minimum do ukonstytuowania stanowiska głównego księgowego w rozumieniu przepisów ustawy o finansach publicznych.</w:t>
      </w:r>
    </w:p>
    <w:p w:rsidR="00B02E0A" w:rsidRPr="00B02E0A" w:rsidRDefault="00B02E0A" w:rsidP="00B02E0A">
      <w:pPr>
        <w:pStyle w:val="Trepisma"/>
        <w:ind w:left="426"/>
        <w:rPr>
          <w:rFonts w:cs="Arial"/>
          <w:szCs w:val="24"/>
        </w:rPr>
      </w:pPr>
      <w:r w:rsidRPr="00B02E0A">
        <w:rPr>
          <w:rFonts w:cs="Arial"/>
          <w:szCs w:val="24"/>
        </w:rPr>
        <w:t>Zgodnie z art. 53 ust. 2 ustawy o finansach publicznych kierownik powierza obowiązki z zakresu gospodarki finansowej w formie odrębnego imiennego upoważnienia albo poprzez wskazanie w regulaminie organizacyjnym jednostki. Kontrola wykazała, że regulamin organizacyjny również nie zawierał wszystkich zadań głównego księgowego wynikających z ustawy o finansach publicznych, co oznaczało, że w okresie do 01.09.2019 r. główny księgowy nie miał upoważnienia do wykonywania obowiązków.</w:t>
      </w:r>
    </w:p>
    <w:p w:rsidR="00B02E0A" w:rsidRPr="00B02E0A" w:rsidRDefault="00B02E0A" w:rsidP="00B02E0A">
      <w:pPr>
        <w:pStyle w:val="Trepisma"/>
        <w:ind w:left="426"/>
        <w:rPr>
          <w:rFonts w:cs="Arial"/>
          <w:szCs w:val="24"/>
        </w:rPr>
      </w:pPr>
      <w:r w:rsidRPr="00B02E0A">
        <w:rPr>
          <w:rFonts w:cs="Arial"/>
          <w:szCs w:val="24"/>
        </w:rPr>
        <w:t>Udzielone w dniu 02.09.2019 r. nowe powierzenie obowiązków głównego księgowego zawierało już wszystkie zadania wynikające z art. 54 ust. 1 ustawy o finansach publicznych.</w:t>
      </w:r>
    </w:p>
    <w:p w:rsidR="00B02E0A" w:rsidRPr="00B02E0A" w:rsidRDefault="00B02E0A" w:rsidP="00B02E0A">
      <w:pPr>
        <w:pStyle w:val="Trepisma"/>
        <w:numPr>
          <w:ilvl w:val="0"/>
          <w:numId w:val="11"/>
        </w:numPr>
        <w:rPr>
          <w:rFonts w:cs="Arial"/>
          <w:szCs w:val="24"/>
        </w:rPr>
      </w:pPr>
      <w:r w:rsidRPr="00B02E0A">
        <w:rPr>
          <w:rFonts w:cs="Arial"/>
          <w:szCs w:val="24"/>
        </w:rPr>
        <w:t>Indywidualny zakres czynności, odpowiedzialności i uprawnień pracownika na stanowisku głównego księgowego, przyjęty do wiadomości i stosowania w dniu 04.02.2015 r., nie został zmieniony w związku ze zmianą wymiaru zatrudnienia głównego księgowego (m.in. zawierał harmonogram pracy w wymiarze ½ etatu), a także nie zawierał zadania dotyczącego wykonywania dyspozycji środkami pieniężnymi. Zgodnie ze standardem kontroli zarządczej: „Środowisko wewnętrzne” kierownik powinien określić dla każdego pracownika aktualny zakres obowiązków, uprawnień i odpowiedzialności</w:t>
      </w:r>
    </w:p>
    <w:p w:rsidR="00B02E0A" w:rsidRPr="00B02E0A" w:rsidRDefault="00B02E0A" w:rsidP="00B02E0A">
      <w:pPr>
        <w:pStyle w:val="Trepisma"/>
        <w:numPr>
          <w:ilvl w:val="0"/>
          <w:numId w:val="11"/>
        </w:numPr>
        <w:rPr>
          <w:rFonts w:cs="Arial"/>
          <w:szCs w:val="24"/>
        </w:rPr>
      </w:pPr>
      <w:r w:rsidRPr="00B02E0A">
        <w:rPr>
          <w:rFonts w:cs="Arial"/>
          <w:szCs w:val="24"/>
        </w:rPr>
        <w:lastRenderedPageBreak/>
        <w:t>Pracownikiem wskazanym przez organ prowadzący do zastępowania Dyrektora Poradni był nauczyciel logopeda. W udzielonym wyznaczonemu pracownikowi upoważnieniu Dyrektora do wykonywania, w przypadku jego nieobecności, obowiązków w zakresie gospodarki finansowej, brak było wskazania podstawy prawnej, tj. art. 53 ust. 2 ustawy z dnia 27 sierpnia 2009 r. o finansach publicznych, a także potwierdzenia przyjęcia przez pracownika powierzonych obowiązków. Podobne błędy formalne zawierało upoważnienie udzielone pracownikowi zatrudnionemu na stanowisku specjalisty. Zgodnie z przywołanym powyżej art. 53 ust 2 ustawy o finansach publicznych, kierownik jednostki może powierzyć określone obowiązki w zakresie gospodarki finansowej pracownikom jednostki, a przyjęcie obowiązków przez te osoby powinno być potwierdzone dokumentem w formie odrębnego imiennego upoważnienia albo wskazania w regulaminie organizacyjnym tej jednostki. Przy powierzaniu pracownikom zadań z zakresu gospodarki finansowej kierownik powinien dochować należytej staranności, gdyż uchybienia formalne mogą rzutować na skuteczność upoważnienia. W przypadku nieskutecznego powierzenia obowiązków, kierownik ponosi pełną odpowiedzialność za gospodarkę finansową – a nie tylko odpowiedzialność z tytułu nadzoru.</w:t>
      </w:r>
    </w:p>
    <w:p w:rsidR="00B02E0A" w:rsidRPr="00B02E0A" w:rsidRDefault="00B02E0A" w:rsidP="00B02E0A">
      <w:pPr>
        <w:pStyle w:val="Trepisma"/>
        <w:numPr>
          <w:ilvl w:val="0"/>
          <w:numId w:val="11"/>
        </w:numPr>
        <w:rPr>
          <w:rFonts w:cs="Arial"/>
          <w:szCs w:val="24"/>
        </w:rPr>
      </w:pPr>
      <w:r w:rsidRPr="00B02E0A">
        <w:rPr>
          <w:rFonts w:cs="Arial"/>
          <w:szCs w:val="24"/>
        </w:rPr>
        <w:t>Ewidencja druków ścisłego zarachowania prowadzona była przez pracownika zatrudnionego na stanowisku głównego księgowego, jednakże Dyrektor nie udzielił pracownikowi upoważnienia do wykonywania tego zadania, a także nie wskazał tego zadania w zakresie czynności</w:t>
      </w:r>
      <w:r w:rsidRPr="00B02E0A">
        <w:rPr>
          <w:rStyle w:val="Odwoanieprzypisudolnego"/>
          <w:rFonts w:cs="Arial"/>
          <w:szCs w:val="24"/>
        </w:rPr>
        <w:footnoteReference w:id="7"/>
      </w:r>
      <w:r w:rsidRPr="00B02E0A">
        <w:rPr>
          <w:rFonts w:cs="Arial"/>
          <w:szCs w:val="24"/>
        </w:rPr>
        <w:t>. Powyższe wskazuje na słabość kontroli zarządczej w obszarze struktury organizacyjnej i nie pozwala na skuteczne egzekwowanie odpowiedzialności za wykonywanie zadań.</w:t>
      </w:r>
    </w:p>
    <w:p w:rsidR="00B02E0A" w:rsidRPr="00B02E0A" w:rsidRDefault="00B02E0A" w:rsidP="00B02E0A">
      <w:pPr>
        <w:pStyle w:val="Nagwek1"/>
        <w:numPr>
          <w:ilvl w:val="0"/>
          <w:numId w:val="0"/>
        </w:numPr>
      </w:pPr>
      <w:r w:rsidRPr="00B02E0A">
        <w:t>W zakresie prowadzenia ksiąg rachunkowych</w:t>
      </w:r>
    </w:p>
    <w:p w:rsidR="00B02E0A" w:rsidRPr="00B02E0A" w:rsidRDefault="00B02E0A" w:rsidP="00B02E0A">
      <w:pPr>
        <w:pStyle w:val="Trepisma"/>
        <w:numPr>
          <w:ilvl w:val="0"/>
          <w:numId w:val="11"/>
        </w:numPr>
        <w:ind w:hanging="397"/>
        <w:rPr>
          <w:rFonts w:cs="Arial"/>
          <w:szCs w:val="24"/>
        </w:rPr>
      </w:pPr>
      <w:r w:rsidRPr="00B02E0A">
        <w:rPr>
          <w:rFonts w:cs="Arial"/>
          <w:szCs w:val="24"/>
        </w:rPr>
        <w:t xml:space="preserve">Zestawienia obrotów i sald księgi głównej za miesiące: I, II, III, IV, VII, VIII, IX, X, XI, XII 2019 r. sporządzone były po terminie złożenia sprawozdań </w:t>
      </w:r>
      <w:r w:rsidRPr="00B02E0A">
        <w:rPr>
          <w:rFonts w:cs="Arial"/>
          <w:szCs w:val="24"/>
        </w:rPr>
        <w:lastRenderedPageBreak/>
        <w:t>za te okresy, co świadczyło o niespełnieniu warunku bieżącego prowadzenia ksiąg rachunkowych wynikającego z art. 24 ust. 5 pkt 2 ustawy o rachunkowości. Mimo niespełnienia powyższego warunku, stwierdzono, że sprawozdania budżetowe były sporządzane na podstawie danych wynikających z ksiąg rachunkowych (zaksięgowanych dokumentów), a przeprowadzona w trakcie kontroli analiza danych zawartych w sprawozdaniach budżetowych za wybrane losowo miesięczne okresy wykazała ich zgodność z ewidencją księgową.</w:t>
      </w:r>
    </w:p>
    <w:p w:rsidR="00B02E0A" w:rsidRPr="00B02E0A" w:rsidRDefault="00B02E0A" w:rsidP="00B02E0A">
      <w:pPr>
        <w:pStyle w:val="Trepisma"/>
        <w:numPr>
          <w:ilvl w:val="0"/>
          <w:numId w:val="11"/>
        </w:numPr>
        <w:ind w:hanging="397"/>
        <w:rPr>
          <w:rFonts w:cs="Arial"/>
          <w:szCs w:val="24"/>
        </w:rPr>
      </w:pPr>
      <w:r w:rsidRPr="00B02E0A">
        <w:rPr>
          <w:rFonts w:cs="Arial"/>
          <w:szCs w:val="24"/>
        </w:rPr>
        <w:t>Ostatecznego zamknięcia ksiąg rachunkowych dokonano w dniu 20 kwietnia 2020 r., co stanowiło naruszenie terminu określonego w § 26 ust. 3 rozporządzenia Ministra Rozwoju i Finansów z dnia 13 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Polskiej.</w:t>
      </w:r>
    </w:p>
    <w:p w:rsidR="00B02E0A" w:rsidRPr="00B02E0A" w:rsidRDefault="00B02E0A" w:rsidP="00B02E0A">
      <w:pPr>
        <w:pStyle w:val="Trepisma"/>
        <w:numPr>
          <w:ilvl w:val="0"/>
          <w:numId w:val="11"/>
        </w:numPr>
        <w:rPr>
          <w:rFonts w:cs="Arial"/>
          <w:szCs w:val="24"/>
        </w:rPr>
      </w:pPr>
      <w:r w:rsidRPr="00B02E0A">
        <w:rPr>
          <w:rFonts w:cs="Arial"/>
          <w:szCs w:val="24"/>
        </w:rPr>
        <w:t>Zapisy księgowe dokonane na podstawie wyciągów bankowych nie spełniały wymogu formalnego wynikającego z art. 23 ust. 3 ustawy o rachunkowości w zakresie opisu dekretów dotyczących przelewów wynagrodzeń na rachunki bankowe pracowników, które nie zawierały zrozumiałego tekstu, czyli takiego, który umożliwiałby prawidłową identyfikację operacji, stosownie do art. 24 ust. 4 pkt 1 ustawy o rachunkowości. Opis dekretów zawierał ponadto treść niezgodną z treścią przelewów na wyciągach bankowych, czym naruszono art. 20 ust. 2 oraz art. 24 ust. 2 ustawy o rachunkowości.</w:t>
      </w:r>
    </w:p>
    <w:p w:rsidR="00B02E0A" w:rsidRPr="00B02E0A" w:rsidRDefault="00B02E0A" w:rsidP="00B02E0A">
      <w:pPr>
        <w:pStyle w:val="Nagwek1"/>
        <w:numPr>
          <w:ilvl w:val="0"/>
          <w:numId w:val="0"/>
        </w:numPr>
      </w:pPr>
      <w:r w:rsidRPr="00B02E0A">
        <w:t>W zakresie sporządzania dokumentów księgowych</w:t>
      </w:r>
    </w:p>
    <w:p w:rsidR="00B02E0A" w:rsidRPr="00B02E0A" w:rsidRDefault="00B02E0A" w:rsidP="00B02E0A">
      <w:pPr>
        <w:pStyle w:val="Trepisma"/>
        <w:numPr>
          <w:ilvl w:val="0"/>
          <w:numId w:val="11"/>
        </w:numPr>
        <w:ind w:left="426" w:hanging="426"/>
        <w:rPr>
          <w:rFonts w:cs="Arial"/>
          <w:szCs w:val="24"/>
        </w:rPr>
      </w:pPr>
      <w:r w:rsidRPr="00B02E0A">
        <w:rPr>
          <w:rFonts w:cs="Arial"/>
          <w:szCs w:val="24"/>
        </w:rPr>
        <w:t>Polecenia księgowania sporządzane dla udokumentowania operacji przeksięgowań między kontami, korekty błędnych zapisów itp. nie posiadały numerów identyfikacyjnych, co było niezgodne z wymogami formalnymi dotyczącymi dowodów księgowych, wynikającymi z art. 21 ust. 1 pkt 1 ustawy o rachunkowości.</w:t>
      </w:r>
    </w:p>
    <w:p w:rsidR="00B02E0A" w:rsidRPr="00B02E0A" w:rsidRDefault="00B02E0A" w:rsidP="00B02E0A">
      <w:pPr>
        <w:pStyle w:val="Trepisma"/>
        <w:numPr>
          <w:ilvl w:val="0"/>
          <w:numId w:val="11"/>
        </w:numPr>
        <w:ind w:left="426" w:hanging="426"/>
        <w:rPr>
          <w:rFonts w:cs="Arial"/>
          <w:szCs w:val="24"/>
        </w:rPr>
      </w:pPr>
      <w:r w:rsidRPr="00B02E0A">
        <w:rPr>
          <w:rFonts w:cs="Arial"/>
          <w:szCs w:val="24"/>
        </w:rPr>
        <w:lastRenderedPageBreak/>
        <w:t>Nie stosowano polecenia księgowania w przypadku ujemnych zapisów technicznych na koncie 130 – „Rachunek bieżący jednostki”, a jako podstawę tych zapisów wskazywano wyciąg bankowy, co było niezgodne z rozporządzeniem Ministra Rozwoju i Finansów z dnia 13 września 2017 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Polskiej.</w:t>
      </w:r>
    </w:p>
    <w:p w:rsidR="002C780D" w:rsidRDefault="002C780D" w:rsidP="00B02E0A">
      <w:pPr>
        <w:spacing w:before="240" w:line="360" w:lineRule="auto"/>
        <w:rPr>
          <w:b/>
        </w:rPr>
      </w:pPr>
    </w:p>
    <w:p w:rsidR="00B02E0A" w:rsidRPr="00B02E0A" w:rsidRDefault="00B02E0A" w:rsidP="00B02E0A">
      <w:pPr>
        <w:spacing w:before="240" w:line="360" w:lineRule="auto"/>
        <w:rPr>
          <w:b/>
        </w:rPr>
      </w:pPr>
      <w:r w:rsidRPr="00B02E0A">
        <w:rPr>
          <w:b/>
        </w:rPr>
        <w:t>W celu wyeliminowania stwierdzonych nieprawidłowości i uchybień oraz uniknięcia powstania ich w przyszłości polecam:</w:t>
      </w:r>
    </w:p>
    <w:p w:rsidR="00B02E0A" w:rsidRPr="00B02E0A" w:rsidRDefault="00B02E0A" w:rsidP="00B02E0A">
      <w:pPr>
        <w:pStyle w:val="Trepisma"/>
        <w:numPr>
          <w:ilvl w:val="0"/>
          <w:numId w:val="12"/>
        </w:numPr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>Dokonać zmiany statutu w celu zapewnienia jego zgodności z aktualną strukturą organizacyjną Poradni.</w:t>
      </w:r>
    </w:p>
    <w:p w:rsidR="00B02E0A" w:rsidRPr="00B02E0A" w:rsidRDefault="00B02E0A" w:rsidP="00B02E0A">
      <w:pPr>
        <w:pStyle w:val="Trepisma"/>
        <w:numPr>
          <w:ilvl w:val="0"/>
          <w:numId w:val="12"/>
        </w:numPr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>Dokonać przeglądu zapisów regulaminu organizacyjnego w zakresie zadań określonych dla specjalisty i starszego referenta, celem zapewnienia jego zgodności ze strukturą organizacyjną Poradni oraz ze standardami kontroli zarządczej.</w:t>
      </w:r>
    </w:p>
    <w:p w:rsidR="00B02E0A" w:rsidRPr="00B02E0A" w:rsidRDefault="00B02E0A" w:rsidP="00B02E0A">
      <w:pPr>
        <w:pStyle w:val="Trepisma"/>
        <w:numPr>
          <w:ilvl w:val="0"/>
          <w:numId w:val="12"/>
        </w:numPr>
        <w:ind w:left="426" w:hanging="422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>Dostosować zasady (politykę) rachunkowości do specyfiki i potrzeb jednostki, w szczególności określić sposób spełnienia wymogu określonego w art. 13 ust. 6 ustawy z dnia 29 września 1994 r. o rachunkowości</w:t>
      </w:r>
      <w:r w:rsidRPr="00B02E0A">
        <w:rPr>
          <w:rStyle w:val="Odwoanieprzypisudolnego"/>
          <w:rFonts w:cs="Arial"/>
          <w:szCs w:val="24"/>
        </w:rPr>
        <w:footnoteReference w:id="8"/>
      </w:r>
      <w:r w:rsidRPr="00B02E0A">
        <w:rPr>
          <w:rFonts w:cs="Arial"/>
          <w:szCs w:val="24"/>
        </w:rPr>
        <w:t xml:space="preserve"> oraz skorygować błędny zapis dotyczący daty ostatecznego zamknięcia ksiąg rachunkowych w zasadach rachunkowości.  </w:t>
      </w:r>
    </w:p>
    <w:p w:rsidR="00B02E0A" w:rsidRPr="00B02E0A" w:rsidRDefault="00B02E0A" w:rsidP="00B02E0A">
      <w:pPr>
        <w:pStyle w:val="Trepisma"/>
        <w:numPr>
          <w:ilvl w:val="0"/>
          <w:numId w:val="12"/>
        </w:numPr>
        <w:ind w:left="426" w:hanging="422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 xml:space="preserve">Po zamknięciu roku 2020 dokonać w programie finansowo-księgowym usunięcia błędnie wprowadzonego konta 225-0003. Przesłać do Biura Kontroli UM wydruki z programu potwierdzające wprowadzenie zmian (podpisany przez kierownika jednostki wydruk Zakładowego planu kont i Zestawienia obrotów i sald kont księgi głównej). </w:t>
      </w:r>
    </w:p>
    <w:p w:rsidR="00B02E0A" w:rsidRPr="00B02E0A" w:rsidRDefault="00B02E0A" w:rsidP="00B02E0A">
      <w:pPr>
        <w:pStyle w:val="Trepisma"/>
        <w:numPr>
          <w:ilvl w:val="0"/>
          <w:numId w:val="12"/>
        </w:numPr>
        <w:ind w:left="426" w:hanging="422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lastRenderedPageBreak/>
        <w:t xml:space="preserve">Wzmocnić kontrolę nad prawidłowością ustalania w programie finansowo-księgowym Zakładowego planu kont m.in. poprzez drukowanie zakładowego planu kont z programu każdorazowo podczas </w:t>
      </w:r>
      <w:r w:rsidRPr="00B02E0A">
        <w:rPr>
          <w:rFonts w:cs="Arial"/>
          <w:color w:val="222222"/>
          <w:szCs w:val="24"/>
          <w:shd w:val="clear" w:color="auto" w:fill="FFFFFF"/>
        </w:rPr>
        <w:t>aktualizowania zasad rachunkowości w zakresie zakładowego planu kont, a następnie sprawdzanie jego poprawności pod kątem zgodności z ustaloną strukturą kont księgi głównej i ksiąg pomocniczych. Wydrukowany z programu zakładowy plan kont, po zatwierdzeniu przez kierownika, włączać do wprowadzonych zasad rachunkowości, jako ich integralną część (np. w formie załącznika).</w:t>
      </w:r>
    </w:p>
    <w:p w:rsidR="00B02E0A" w:rsidRPr="00B02E0A" w:rsidRDefault="00B02E0A" w:rsidP="00B02E0A">
      <w:pPr>
        <w:pStyle w:val="Trepisma"/>
        <w:numPr>
          <w:ilvl w:val="0"/>
          <w:numId w:val="12"/>
        </w:numPr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 xml:space="preserve">Dokonać uszczegółowienia zapisów Instrukcji obiegu i kontroli dokumentów finansowo-księgowych w zakresie ścieżki obiegu poszczególnych dowodów księgowych  występujących w Poradni. Uzupełnić instrukcję o zasady dokonywania kontroli wstępnej  dowodów księgowych sprawowanej przez głównego księgowego i sposób jej dokumentowania, w celu spełnienia wymogu art. 54 ust 1 i 3 ustawy z dnia 27 sierpnia 2009 r. o finansach publicznych. Załącznik zawierający listę osób dokonujących kontroli i zatwierdzania dokumentów uzupełnić o inne dokumenty występujące w jednostce (w szczególności listy płac). Dołączyć do instrukcji, w formie załącznika, wzory pieczątek używanych na dokumentach księgowych. </w:t>
      </w:r>
    </w:p>
    <w:p w:rsidR="00B02E0A" w:rsidRPr="00B02E0A" w:rsidRDefault="00B02E0A" w:rsidP="00B02E0A">
      <w:pPr>
        <w:pStyle w:val="Trepisma"/>
        <w:numPr>
          <w:ilvl w:val="0"/>
          <w:numId w:val="12"/>
        </w:numPr>
        <w:ind w:left="426" w:hanging="422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>Dokonać zmian Regulaminu udzielania zamówień publicznych o wartości poniżej 30 000 euro w celu urealnienia jego zapisów i dostosowania ich do warunków panujących w jednostce, celem wzmocnienia mechanizmów kontroli w zakresie dokonywania wydatków budżetowych zgodnie z zasadami określonym w ustawie o finansach publicznych – w szczególności zweryfikować progi zwalniające ze stosowania ustalonych w regulaminie procedur i wyeliminować dowolność stosowania tych procedur.</w:t>
      </w:r>
    </w:p>
    <w:p w:rsidR="00B02E0A" w:rsidRPr="00B02E0A" w:rsidRDefault="00B02E0A" w:rsidP="00B02E0A">
      <w:pPr>
        <w:pStyle w:val="Trepisma"/>
        <w:numPr>
          <w:ilvl w:val="0"/>
          <w:numId w:val="12"/>
        </w:numPr>
        <w:ind w:left="426" w:hanging="422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 xml:space="preserve">Zweryfikować indywidualny zakres obowiązków, uprawnień i odpowiedzialności głównego księgowego w związku ze zmianą wymiaru etatu, wskazać w zakresie zadań pracownika wszystkie obowiązki określone w art. 54 ust. 1 ustawy z dnia 27 sierpnia 2009 r. o finansach publicznych. </w:t>
      </w:r>
    </w:p>
    <w:p w:rsidR="00B02E0A" w:rsidRPr="00B02E0A" w:rsidRDefault="00B02E0A" w:rsidP="00B02E0A">
      <w:pPr>
        <w:pStyle w:val="Trepisma"/>
        <w:numPr>
          <w:ilvl w:val="0"/>
          <w:numId w:val="12"/>
        </w:numPr>
        <w:ind w:left="426" w:hanging="422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lastRenderedPageBreak/>
        <w:t xml:space="preserve">Powierzyć pracownikowi na piśmie zadanie prowadzenia ewidencji druków ścisłego zarachowania. Uzupełnić braki formalne w upoważnieniach dla logopedy oraz specjalisty poprzez udzielenie nowych upoważnień, zawierających podstawę prawną, enumeratywnie wymienione obowiązki i stosowaną formułę potwierdzającą przyjęcie tych obowiązków przez pracownika. Przestrzegać wymogów dotyczących formy powierzenia obowiązków w zakresie gospodarki finansowej jednostki określonych w art. 53 ust. 2 ustawy o finansach publicznych. </w:t>
      </w:r>
    </w:p>
    <w:p w:rsidR="00B02E0A" w:rsidRPr="00B02E0A" w:rsidRDefault="00B02E0A" w:rsidP="00B02E0A">
      <w:pPr>
        <w:pStyle w:val="Trepisma"/>
        <w:numPr>
          <w:ilvl w:val="0"/>
          <w:numId w:val="12"/>
        </w:numPr>
        <w:ind w:left="426" w:hanging="422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>Sporządzać zestawienie obrotów i sald w terminie zgodnym z terminem złożenia sprawozdania, w celu spełnienia warunku bieżącego prowadzenia ksiąg rachunkowych, stosownie do art. 24 ust. 5 pkt 2 ustawy o rachunkowości.</w:t>
      </w:r>
    </w:p>
    <w:p w:rsidR="00B02E0A" w:rsidRPr="00B02E0A" w:rsidRDefault="00B02E0A" w:rsidP="00B02E0A">
      <w:pPr>
        <w:pStyle w:val="Trepisma"/>
        <w:numPr>
          <w:ilvl w:val="0"/>
          <w:numId w:val="12"/>
        </w:numPr>
        <w:ind w:left="426" w:hanging="422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 xml:space="preserve">Zapewnić zgodność obrotów i sald kont księgi głównej z obrotami i saldami ksiąg pomocniczych. </w:t>
      </w:r>
    </w:p>
    <w:p w:rsidR="00B02E0A" w:rsidRPr="00B02E0A" w:rsidRDefault="00B02E0A" w:rsidP="00B02E0A">
      <w:pPr>
        <w:pStyle w:val="Trepisma"/>
        <w:numPr>
          <w:ilvl w:val="0"/>
          <w:numId w:val="12"/>
        </w:numPr>
        <w:ind w:left="426" w:hanging="422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>Zamykać księgi rachunkowe w terminie zgodnym z rozporządzeniem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Polskiej,</w:t>
      </w:r>
      <w:r w:rsidRPr="00B02E0A">
        <w:rPr>
          <w:rStyle w:val="Odwoanieprzypisudolnego"/>
          <w:rFonts w:cs="Arial"/>
          <w:szCs w:val="24"/>
        </w:rPr>
        <w:footnoteReference w:id="9"/>
      </w:r>
      <w:r w:rsidRPr="00B02E0A">
        <w:rPr>
          <w:rFonts w:cs="Arial"/>
          <w:szCs w:val="24"/>
        </w:rPr>
        <w:t xml:space="preserve"> tj. w ciągu 15 dni od dnia zatwierdzenia łącznego sprawozdania finansowego za rok obrotowy. </w:t>
      </w:r>
    </w:p>
    <w:p w:rsidR="00B02E0A" w:rsidRPr="00B02E0A" w:rsidRDefault="00B02E0A" w:rsidP="00B02E0A">
      <w:pPr>
        <w:pStyle w:val="Trepisma"/>
        <w:numPr>
          <w:ilvl w:val="0"/>
          <w:numId w:val="12"/>
        </w:numPr>
        <w:ind w:left="426" w:hanging="422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>Zapisów księgowych dokonywać w sposób pozwalający na prawidłową identyfikację dowodów i wynikających z nich operacji księgowych, stosownie do art. 20 ust. 2 i art. 23 ust. 2 pkt 3, w związku z art. 24 ust. 2 i 4 pkt 1 ustawy o rachunkowości.</w:t>
      </w:r>
    </w:p>
    <w:p w:rsidR="00B02E0A" w:rsidRPr="00B02E0A" w:rsidRDefault="00B02E0A" w:rsidP="00B02E0A">
      <w:pPr>
        <w:pStyle w:val="Trepisma"/>
        <w:numPr>
          <w:ilvl w:val="0"/>
          <w:numId w:val="12"/>
        </w:numPr>
        <w:ind w:left="426" w:hanging="422"/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t xml:space="preserve">Na koncie 130 dokonywać zapisów na podstawie dokumentów bankowych, a w przypadku operacji, które nie wynikają z tych dokumentów, dokonywać zapisów na podstawie polecenia księgowania, stosownie do zasad prowadzenia ewidencji na koncie 130 określonych w rozporządzeniu Ministra Rozwoju i Finansów z dnia 13 września 2017 r. </w:t>
      </w:r>
    </w:p>
    <w:p w:rsidR="00B02E0A" w:rsidRPr="00B02E0A" w:rsidRDefault="00B02E0A" w:rsidP="00B02E0A">
      <w:pPr>
        <w:pStyle w:val="Trepisma"/>
        <w:numPr>
          <w:ilvl w:val="0"/>
          <w:numId w:val="12"/>
        </w:numPr>
        <w:contextualSpacing/>
        <w:rPr>
          <w:rFonts w:cs="Arial"/>
          <w:szCs w:val="24"/>
        </w:rPr>
      </w:pPr>
      <w:r w:rsidRPr="00B02E0A">
        <w:rPr>
          <w:rFonts w:cs="Arial"/>
          <w:szCs w:val="24"/>
        </w:rPr>
        <w:lastRenderedPageBreak/>
        <w:t xml:space="preserve">Przestrzegać formalnych wymogów, o których mowa w art. 21 ust. 1 pkt 1 ustawy o rachunkowości, w zakresie określenia numeru identyfikacyjnego dowodu księgowego stanowiącego podstawę zapisu w księgach. </w:t>
      </w:r>
    </w:p>
    <w:p w:rsidR="00B02E0A" w:rsidRPr="00B02E0A" w:rsidRDefault="00B02E0A" w:rsidP="00B02E0A">
      <w:pPr>
        <w:pStyle w:val="Trepisma"/>
        <w:rPr>
          <w:rFonts w:cs="Arial"/>
          <w:szCs w:val="24"/>
        </w:rPr>
      </w:pPr>
    </w:p>
    <w:p w:rsidR="00B02E0A" w:rsidRPr="00B02E0A" w:rsidRDefault="00B02E0A" w:rsidP="00B02E0A">
      <w:pPr>
        <w:pStyle w:val="Trepisma"/>
        <w:rPr>
          <w:rFonts w:cs="Arial"/>
          <w:szCs w:val="24"/>
        </w:rPr>
      </w:pPr>
      <w:r w:rsidRPr="00B02E0A">
        <w:rPr>
          <w:rFonts w:cs="Arial"/>
          <w:szCs w:val="24"/>
        </w:rPr>
        <w:t>Proszę w terminie 14 dni od daty otrzymania wystąpienia pokontrolnego przedstawić pisemną informację o podjętych działaniach w celu wyeliminowania stwierdzonych nieprawidłowości i uchybień.</w:t>
      </w:r>
      <w:r w:rsidRPr="00B02E0A">
        <w:rPr>
          <w:rStyle w:val="Odwoanieprzypisudolnego"/>
          <w:rFonts w:cs="Arial"/>
          <w:szCs w:val="24"/>
        </w:rPr>
        <w:footnoteReference w:id="10"/>
      </w:r>
    </w:p>
    <w:p w:rsidR="00B02E0A" w:rsidRPr="00B02E0A" w:rsidRDefault="00B02E0A" w:rsidP="00B02E0A">
      <w:pPr>
        <w:pStyle w:val="Trepisma"/>
        <w:rPr>
          <w:rFonts w:cs="Arial"/>
          <w:szCs w:val="24"/>
        </w:rPr>
      </w:pPr>
    </w:p>
    <w:sdt>
      <w:sdtPr>
        <w:rPr>
          <w:rFonts w:cs="Arial"/>
          <w:szCs w:val="24"/>
        </w:rPr>
        <w:id w:val="-208809442"/>
        <w:placeholder>
          <w:docPart w:val="E600B9979DCC4EF09A2C8D21F39E8171"/>
        </w:placeholder>
        <w:text w:multiLine="1"/>
      </w:sdtPr>
      <w:sdtEndPr/>
      <w:sdtContent>
        <w:p w:rsidR="00B02E0A" w:rsidRPr="00B02E0A" w:rsidRDefault="00F34C09" w:rsidP="00B02E0A">
          <w:pPr>
            <w:pStyle w:val="Stanowisko"/>
            <w:rPr>
              <w:rFonts w:cs="Arial"/>
              <w:szCs w:val="24"/>
            </w:rPr>
          </w:pPr>
        </w:p>
      </w:sdtContent>
    </w:sdt>
    <w:p w:rsidR="002C780D" w:rsidRDefault="002C780D" w:rsidP="002C780D">
      <w:pPr>
        <w:pStyle w:val="Imiinazwisko"/>
      </w:pPr>
      <w:r>
        <w:rPr>
          <w:b/>
        </w:rPr>
        <w:t>Z upoważnienia</w:t>
      </w:r>
      <w:r w:rsidRPr="00CF7533">
        <w:rPr>
          <w:b/>
        </w:rPr>
        <w:t xml:space="preserve"> Prezydenta Miasta</w:t>
      </w:r>
      <w:r>
        <w:rPr>
          <w:b/>
        </w:rPr>
        <w:t xml:space="preserve"> Piotrkowa Trybunalskiego</w:t>
      </w:r>
    </w:p>
    <w:p w:rsidR="002C780D" w:rsidRDefault="002C780D" w:rsidP="002C780D">
      <w:pPr>
        <w:pStyle w:val="Imiinazwisko"/>
        <w:rPr>
          <w:b/>
        </w:rPr>
      </w:pPr>
      <w:r>
        <w:rPr>
          <w:b/>
        </w:rPr>
        <w:br/>
      </w:r>
      <w:r w:rsidRPr="00CF7533">
        <w:rPr>
          <w:b/>
        </w:rPr>
        <w:t>Bogdan Munik</w:t>
      </w:r>
      <w:r>
        <w:rPr>
          <w:b/>
        </w:rPr>
        <w:br/>
      </w:r>
      <w:r w:rsidRPr="00CF7533">
        <w:rPr>
          <w:b/>
        </w:rPr>
        <w:t>Sekretarz Miasta</w:t>
      </w:r>
    </w:p>
    <w:p w:rsidR="002C780D" w:rsidRDefault="002C780D" w:rsidP="002C780D">
      <w:pPr>
        <w:pStyle w:val="Imiinazwisko"/>
        <w:rPr>
          <w:b/>
        </w:rPr>
      </w:pPr>
    </w:p>
    <w:p w:rsidR="002C780D" w:rsidRPr="008B7C45" w:rsidRDefault="002C780D" w:rsidP="002C780D">
      <w:pPr>
        <w:pStyle w:val="Imiinazwisko"/>
      </w:pPr>
      <w:r>
        <w:rPr>
          <w:b/>
        </w:rPr>
        <w:t>podpisane kwalifikowanym podpisem elektronicznym</w:t>
      </w:r>
    </w:p>
    <w:p w:rsidR="000E3080" w:rsidRPr="00B02E0A" w:rsidRDefault="000E3080">
      <w:pPr>
        <w:rPr>
          <w:rFonts w:cs="Arial"/>
          <w:szCs w:val="24"/>
        </w:rPr>
      </w:pPr>
    </w:p>
    <w:sectPr w:rsidR="000E3080" w:rsidRPr="00B02E0A" w:rsidSect="00D27378">
      <w:footerReference w:type="default" r:id="rId8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BE" w:rsidRDefault="00E805BE" w:rsidP="00B02E0A">
      <w:pPr>
        <w:spacing w:after="0" w:line="240" w:lineRule="auto"/>
      </w:pPr>
      <w:r>
        <w:separator/>
      </w:r>
    </w:p>
  </w:endnote>
  <w:endnote w:type="continuationSeparator" w:id="0">
    <w:p w:rsidR="00E805BE" w:rsidRDefault="00E805BE" w:rsidP="00B0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altName w:val="DejaVu Sans"/>
    <w:charset w:val="B1"/>
    <w:family w:val="auto"/>
    <w:pitch w:val="variable"/>
    <w:sig w:usb0="00000800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357746"/>
      <w:docPartObj>
        <w:docPartGallery w:val="Page Numbers (Bottom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:rsidR="00B5272C" w:rsidRPr="002C780D" w:rsidRDefault="00E31494" w:rsidP="00B5272C">
        <w:pPr>
          <w:pStyle w:val="Stopka"/>
          <w:rPr>
            <w:rFonts w:ascii="Arial" w:hAnsi="Arial" w:cs="Arial"/>
            <w:sz w:val="28"/>
            <w:szCs w:val="28"/>
          </w:rPr>
        </w:pPr>
        <w:r w:rsidRPr="002C780D">
          <w:rPr>
            <w:rFonts w:ascii="Arial" w:hAnsi="Arial" w:cs="Arial"/>
          </w:rPr>
          <w:t xml:space="preserve">Strona </w:t>
        </w:r>
        <w:r w:rsidRPr="002C780D">
          <w:rPr>
            <w:rFonts w:ascii="Arial" w:hAnsi="Arial" w:cs="Arial"/>
            <w:b/>
          </w:rPr>
          <w:fldChar w:fldCharType="begin"/>
        </w:r>
        <w:r w:rsidRPr="002C780D">
          <w:rPr>
            <w:rFonts w:ascii="Arial" w:hAnsi="Arial" w:cs="Arial"/>
            <w:b/>
          </w:rPr>
          <w:instrText>PAGE    \* MERGEFORMAT</w:instrText>
        </w:r>
        <w:r w:rsidRPr="002C780D">
          <w:rPr>
            <w:rFonts w:ascii="Arial" w:hAnsi="Arial" w:cs="Arial"/>
            <w:b/>
          </w:rPr>
          <w:fldChar w:fldCharType="separate"/>
        </w:r>
        <w:r w:rsidR="00F34C09">
          <w:rPr>
            <w:rFonts w:ascii="Arial" w:hAnsi="Arial" w:cs="Arial"/>
            <w:b/>
            <w:noProof/>
          </w:rPr>
          <w:t>2</w:t>
        </w:r>
        <w:r w:rsidRPr="002C780D">
          <w:rPr>
            <w:rFonts w:ascii="Arial" w:hAnsi="Arial" w:cs="Arial"/>
            <w:b/>
          </w:rPr>
          <w:fldChar w:fldCharType="end"/>
        </w:r>
        <w:r w:rsidRPr="002C780D">
          <w:rPr>
            <w:rFonts w:ascii="Arial" w:hAnsi="Arial" w:cs="Arial"/>
          </w:rPr>
          <w:t xml:space="preserve"> z </w:t>
        </w:r>
        <w:r w:rsidRPr="002C780D">
          <w:rPr>
            <w:rFonts w:ascii="Arial" w:hAnsi="Arial" w:cs="Arial"/>
            <w:b/>
          </w:rPr>
          <w:fldChar w:fldCharType="begin"/>
        </w:r>
        <w:r w:rsidRPr="002C780D">
          <w:rPr>
            <w:rFonts w:ascii="Arial" w:hAnsi="Arial" w:cs="Arial"/>
            <w:b/>
          </w:rPr>
          <w:instrText xml:space="preserve"> NUMPAGES   \* MERGEFORMAT </w:instrText>
        </w:r>
        <w:r w:rsidRPr="002C780D">
          <w:rPr>
            <w:rFonts w:ascii="Arial" w:hAnsi="Arial" w:cs="Arial"/>
            <w:b/>
          </w:rPr>
          <w:fldChar w:fldCharType="separate"/>
        </w:r>
        <w:r w:rsidR="00F34C09">
          <w:rPr>
            <w:rFonts w:ascii="Arial" w:hAnsi="Arial" w:cs="Arial"/>
            <w:b/>
            <w:noProof/>
          </w:rPr>
          <w:t>13</w:t>
        </w:r>
        <w:r w:rsidRPr="002C780D">
          <w:rPr>
            <w:rFonts w:ascii="Arial" w:hAnsi="Arial" w:cs="Arial"/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BE" w:rsidRDefault="00E805BE" w:rsidP="00B02E0A">
      <w:pPr>
        <w:spacing w:after="0" w:line="240" w:lineRule="auto"/>
      </w:pPr>
      <w:r>
        <w:separator/>
      </w:r>
    </w:p>
  </w:footnote>
  <w:footnote w:type="continuationSeparator" w:id="0">
    <w:p w:rsidR="00E805BE" w:rsidRDefault="00E805BE" w:rsidP="00B02E0A">
      <w:pPr>
        <w:spacing w:after="0" w:line="240" w:lineRule="auto"/>
      </w:pPr>
      <w:r>
        <w:continuationSeparator/>
      </w:r>
    </w:p>
  </w:footnote>
  <w:footnote w:id="1">
    <w:p w:rsidR="00B02E0A" w:rsidRPr="002C780D" w:rsidRDefault="00B02E0A" w:rsidP="00B02E0A">
      <w:pPr>
        <w:pStyle w:val="Tekstprzypisudolnego"/>
        <w:rPr>
          <w:sz w:val="24"/>
          <w:szCs w:val="24"/>
        </w:rPr>
      </w:pPr>
      <w:r w:rsidRPr="002C780D">
        <w:rPr>
          <w:rStyle w:val="Odwoanieprzypisudolnego"/>
          <w:sz w:val="24"/>
          <w:szCs w:val="24"/>
        </w:rPr>
        <w:footnoteRef/>
      </w:r>
      <w:r w:rsidRPr="002C780D">
        <w:rPr>
          <w:sz w:val="24"/>
          <w:szCs w:val="24"/>
        </w:rPr>
        <w:t xml:space="preserve"> T.j. Dz.U. z 2018 poz. 395 ze zm. / od 22.02.2019 r. t.j. Dz.U. z 2019 r. poz. 351 ze zm.</w:t>
      </w:r>
    </w:p>
  </w:footnote>
  <w:footnote w:id="2">
    <w:p w:rsidR="00B02E0A" w:rsidRPr="002C780D" w:rsidRDefault="00B02E0A" w:rsidP="00B02E0A">
      <w:pPr>
        <w:pStyle w:val="Tekstprzypisudolnego"/>
        <w:jc w:val="both"/>
        <w:rPr>
          <w:sz w:val="24"/>
          <w:szCs w:val="24"/>
        </w:rPr>
      </w:pPr>
      <w:r w:rsidRPr="002C780D">
        <w:rPr>
          <w:rStyle w:val="Odwoanieprzypisudolnego"/>
          <w:sz w:val="24"/>
          <w:szCs w:val="24"/>
        </w:rPr>
        <w:footnoteRef/>
      </w:r>
      <w:r w:rsidR="002C780D">
        <w:rPr>
          <w:sz w:val="24"/>
          <w:szCs w:val="24"/>
        </w:rPr>
        <w:t xml:space="preserve"> </w:t>
      </w:r>
      <w:r w:rsidRPr="002C780D">
        <w:rPr>
          <w:sz w:val="24"/>
          <w:szCs w:val="24"/>
        </w:rPr>
        <w:t xml:space="preserve">Komunikat Nr 23 Ministra Finansów z dnia 16 grudnia 2009 r. w sprawie standardów kontroli zarządczej dla sektora finansów publicznych </w:t>
      </w:r>
    </w:p>
  </w:footnote>
  <w:footnote w:id="3">
    <w:p w:rsidR="00B02E0A" w:rsidRPr="002C780D" w:rsidRDefault="00B02E0A" w:rsidP="00B02E0A">
      <w:pPr>
        <w:pStyle w:val="Tekstprzypisudolnego"/>
        <w:rPr>
          <w:sz w:val="24"/>
          <w:szCs w:val="24"/>
        </w:rPr>
      </w:pPr>
      <w:r w:rsidRPr="002C780D">
        <w:rPr>
          <w:rStyle w:val="Odwoanieprzypisudolnego"/>
          <w:sz w:val="24"/>
          <w:szCs w:val="24"/>
        </w:rPr>
        <w:footnoteRef/>
      </w:r>
      <w:r w:rsidRPr="002C780D">
        <w:rPr>
          <w:sz w:val="24"/>
          <w:szCs w:val="24"/>
        </w:rPr>
        <w:t xml:space="preserve"> Dz.U. z 2017 r. poz. 1911 ze zm.</w:t>
      </w:r>
    </w:p>
  </w:footnote>
  <w:footnote w:id="4">
    <w:p w:rsidR="00B02E0A" w:rsidRPr="002C780D" w:rsidRDefault="00B02E0A" w:rsidP="00B02E0A">
      <w:pPr>
        <w:pStyle w:val="Tekstprzypisudolnego"/>
        <w:rPr>
          <w:sz w:val="24"/>
          <w:szCs w:val="24"/>
        </w:rPr>
      </w:pPr>
      <w:r w:rsidRPr="002C780D">
        <w:rPr>
          <w:rStyle w:val="Odwoanieprzypisudolnego"/>
          <w:sz w:val="24"/>
          <w:szCs w:val="24"/>
        </w:rPr>
        <w:footnoteRef/>
      </w:r>
      <w:r w:rsidRPr="002C780D">
        <w:rPr>
          <w:sz w:val="24"/>
          <w:szCs w:val="24"/>
        </w:rPr>
        <w:t xml:space="preserve"> Na listach płac brak było klauzuli potwierdzającej „zatwierdzam do wypłaty”</w:t>
      </w:r>
    </w:p>
  </w:footnote>
  <w:footnote w:id="5">
    <w:p w:rsidR="00B02E0A" w:rsidRPr="002C780D" w:rsidRDefault="00B02E0A" w:rsidP="00B02E0A">
      <w:pPr>
        <w:pStyle w:val="Tekstprzypisudolnego"/>
        <w:rPr>
          <w:sz w:val="24"/>
          <w:szCs w:val="24"/>
        </w:rPr>
      </w:pPr>
      <w:r w:rsidRPr="002C780D">
        <w:rPr>
          <w:rStyle w:val="Odwoanieprzypisudolnego"/>
          <w:sz w:val="24"/>
          <w:szCs w:val="24"/>
        </w:rPr>
        <w:footnoteRef/>
      </w:r>
      <w:r w:rsidRPr="002C780D">
        <w:rPr>
          <w:sz w:val="24"/>
          <w:szCs w:val="24"/>
        </w:rPr>
        <w:t xml:space="preserve"> T.j. Dz.U. z 2019 r. poz. 869 ze zm.</w:t>
      </w:r>
    </w:p>
  </w:footnote>
  <w:footnote w:id="6">
    <w:p w:rsidR="00B02E0A" w:rsidRPr="00D54773" w:rsidRDefault="00B02E0A" w:rsidP="00B02E0A">
      <w:pPr>
        <w:pStyle w:val="Tekstprzypisudolnego"/>
        <w:rPr>
          <w:sz w:val="16"/>
          <w:szCs w:val="16"/>
        </w:rPr>
      </w:pPr>
      <w:r w:rsidRPr="002C780D">
        <w:rPr>
          <w:rStyle w:val="Odwoanieprzypisudolnego"/>
          <w:sz w:val="24"/>
          <w:szCs w:val="24"/>
        </w:rPr>
        <w:footnoteRef/>
      </w:r>
      <w:r w:rsidRPr="002C780D">
        <w:rPr>
          <w:sz w:val="24"/>
          <w:szCs w:val="24"/>
        </w:rPr>
        <w:t xml:space="preserve"> Powierzenie obowiązków i odpowiedzialności głównego księgowego z dnia 01.04.2015 r.</w:t>
      </w:r>
    </w:p>
  </w:footnote>
  <w:footnote w:id="7">
    <w:p w:rsidR="00B02E0A" w:rsidRPr="002C780D" w:rsidRDefault="00B02E0A" w:rsidP="00B02E0A">
      <w:pPr>
        <w:pStyle w:val="Tekstprzypisudolnego"/>
        <w:rPr>
          <w:sz w:val="24"/>
          <w:szCs w:val="24"/>
        </w:rPr>
      </w:pPr>
      <w:r w:rsidRPr="002C780D">
        <w:rPr>
          <w:rStyle w:val="Odwoanieprzypisudolnego"/>
          <w:sz w:val="24"/>
          <w:szCs w:val="24"/>
        </w:rPr>
        <w:footnoteRef/>
      </w:r>
      <w:r w:rsidRPr="002C780D">
        <w:rPr>
          <w:sz w:val="24"/>
          <w:szCs w:val="24"/>
        </w:rPr>
        <w:t xml:space="preserve"> Główny księgowy wskazany był jedynie w instrukcji gospodarowania drukami ścisłego zarachowania, jako prowadzący ewidencję druków ścisłego zarachowania.</w:t>
      </w:r>
    </w:p>
  </w:footnote>
  <w:footnote w:id="8">
    <w:p w:rsidR="00B02E0A" w:rsidRPr="002C780D" w:rsidRDefault="00B02E0A" w:rsidP="00B02E0A">
      <w:pPr>
        <w:pStyle w:val="Tekstprzypisudolnego"/>
        <w:rPr>
          <w:sz w:val="24"/>
          <w:szCs w:val="24"/>
        </w:rPr>
      </w:pPr>
      <w:r w:rsidRPr="002C780D">
        <w:rPr>
          <w:rStyle w:val="Odwoanieprzypisudolnego"/>
          <w:sz w:val="24"/>
          <w:szCs w:val="24"/>
        </w:rPr>
        <w:footnoteRef/>
      </w:r>
      <w:r w:rsidRPr="002C780D">
        <w:rPr>
          <w:sz w:val="24"/>
          <w:szCs w:val="24"/>
        </w:rPr>
        <w:t xml:space="preserve"> T.j. Dz.U. z 2019 r. poz. 351 ze zm.</w:t>
      </w:r>
    </w:p>
  </w:footnote>
  <w:footnote w:id="9">
    <w:p w:rsidR="00B02E0A" w:rsidRPr="002C780D" w:rsidRDefault="00B02E0A" w:rsidP="00B02E0A">
      <w:pPr>
        <w:pStyle w:val="Tekstprzypisudolnego"/>
        <w:rPr>
          <w:sz w:val="24"/>
          <w:szCs w:val="24"/>
        </w:rPr>
      </w:pPr>
      <w:r w:rsidRPr="002C780D">
        <w:rPr>
          <w:rStyle w:val="Odwoanieprzypisudolnego"/>
          <w:sz w:val="24"/>
          <w:szCs w:val="24"/>
        </w:rPr>
        <w:footnoteRef/>
      </w:r>
      <w:r w:rsidRPr="002C780D">
        <w:rPr>
          <w:sz w:val="24"/>
          <w:szCs w:val="24"/>
        </w:rPr>
        <w:t xml:space="preserve"> T.j. Dz.U. z 2020 r. poz. 342.</w:t>
      </w:r>
    </w:p>
  </w:footnote>
  <w:footnote w:id="10">
    <w:p w:rsidR="00B02E0A" w:rsidRPr="002C780D" w:rsidRDefault="00B02E0A" w:rsidP="00B02E0A">
      <w:pPr>
        <w:pStyle w:val="Tekstprzypisudolnego"/>
        <w:rPr>
          <w:sz w:val="24"/>
          <w:szCs w:val="24"/>
        </w:rPr>
      </w:pPr>
      <w:r w:rsidRPr="002C780D">
        <w:rPr>
          <w:rStyle w:val="Odwoanieprzypisudolnego"/>
          <w:sz w:val="24"/>
          <w:szCs w:val="24"/>
        </w:rPr>
        <w:footnoteRef/>
      </w:r>
      <w:r w:rsidRPr="002C780D">
        <w:rPr>
          <w:sz w:val="24"/>
          <w:szCs w:val="24"/>
        </w:rPr>
        <w:t xml:space="preserve"> Wzór informacji z realizacji zaleceń pokontrolnych stanowi załącznik nr 2 do Regulaminu przeprowadzania kontroli przez Biuro Kontroli Urzędu Miasta Piotrkowa Trybunalskiego, wprowadzonego Zarządzeniem Nr 16 Prezydenta Miasta Piotrkowa Trybunalskiego z dnia 22 stycznia 2020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7E2"/>
    <w:multiLevelType w:val="multilevel"/>
    <w:tmpl w:val="BA6C69BC"/>
    <w:lvl w:ilvl="0">
      <w:start w:val="1"/>
      <w:numFmt w:val="decimal"/>
      <w:lvlText w:val="%1."/>
      <w:lvlJc w:val="left"/>
      <w:pPr>
        <w:ind w:left="397" w:hanging="34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3C7A09"/>
    <w:multiLevelType w:val="multilevel"/>
    <w:tmpl w:val="EDDA5CD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" w15:restartNumberingAfterBreak="0">
    <w:nsid w:val="0A8B3529"/>
    <w:multiLevelType w:val="multilevel"/>
    <w:tmpl w:val="5D8A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C4F0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5D0C17"/>
    <w:multiLevelType w:val="multilevel"/>
    <w:tmpl w:val="EDBE4094"/>
    <w:lvl w:ilvl="0">
      <w:start w:val="1"/>
      <w:numFmt w:val="decimal"/>
      <w:lvlText w:val="%1."/>
      <w:lvlJc w:val="left"/>
      <w:pPr>
        <w:ind w:left="397" w:hanging="34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943A5F"/>
    <w:multiLevelType w:val="multilevel"/>
    <w:tmpl w:val="0762B8D8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3943E0D"/>
    <w:multiLevelType w:val="hybridMultilevel"/>
    <w:tmpl w:val="3246F050"/>
    <w:lvl w:ilvl="0" w:tplc="B2003B7C">
      <w:start w:val="1"/>
      <w:numFmt w:val="decimal"/>
      <w:pStyle w:val="Tytutabeli"/>
      <w:lvlText w:val="Tabela nr %1"/>
      <w:lvlJc w:val="left"/>
      <w:pPr>
        <w:ind w:left="7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A2F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AE71D7E"/>
    <w:multiLevelType w:val="multilevel"/>
    <w:tmpl w:val="4AE0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FE5799"/>
    <w:multiLevelType w:val="hybridMultilevel"/>
    <w:tmpl w:val="7444D024"/>
    <w:lvl w:ilvl="0" w:tplc="96C4717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51F36"/>
    <w:multiLevelType w:val="multilevel"/>
    <w:tmpl w:val="0934937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AB124E8"/>
    <w:multiLevelType w:val="multilevel"/>
    <w:tmpl w:val="9A4AB956"/>
    <w:lvl w:ilvl="0">
      <w:start w:val="1"/>
      <w:numFmt w:val="bullet"/>
      <w:lvlText w:val=""/>
      <w:lvlJc w:val="left"/>
      <w:pPr>
        <w:ind w:left="397" w:hanging="34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C577B05"/>
    <w:multiLevelType w:val="hybridMultilevel"/>
    <w:tmpl w:val="B36E1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6"/>
  </w:num>
  <w:num w:numId="5">
    <w:abstractNumId w:val="6"/>
  </w:num>
  <w:num w:numId="6">
    <w:abstractNumId w:val="9"/>
  </w:num>
  <w:num w:numId="7">
    <w:abstractNumId w:val="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0"/>
  </w:num>
  <w:num w:numId="13">
    <w:abstractNumId w:val="3"/>
  </w:num>
  <w:num w:numId="14">
    <w:abstractNumId w:val="7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0A"/>
    <w:rsid w:val="00072F8D"/>
    <w:rsid w:val="00077D51"/>
    <w:rsid w:val="000E3080"/>
    <w:rsid w:val="001A12C4"/>
    <w:rsid w:val="002C780D"/>
    <w:rsid w:val="003758B6"/>
    <w:rsid w:val="004433A0"/>
    <w:rsid w:val="005D755E"/>
    <w:rsid w:val="006442AA"/>
    <w:rsid w:val="00955AD0"/>
    <w:rsid w:val="00AB640A"/>
    <w:rsid w:val="00B02E0A"/>
    <w:rsid w:val="00CE0CD0"/>
    <w:rsid w:val="00DA3DD5"/>
    <w:rsid w:val="00DC6FAA"/>
    <w:rsid w:val="00E31494"/>
    <w:rsid w:val="00E805BE"/>
    <w:rsid w:val="00F3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C270FF8-86D6-4286-8CD2-BDEA90E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E0A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42AA"/>
    <w:pPr>
      <w:keepNext/>
      <w:numPr>
        <w:numId w:val="9"/>
      </w:numPr>
      <w:spacing w:before="360" w:after="120" w:line="360" w:lineRule="auto"/>
      <w:ind w:left="357" w:hanging="357"/>
      <w:outlineLvl w:val="0"/>
    </w:pPr>
    <w:rPr>
      <w:rFonts w:eastAsia="Times New Roman" w:cs="Arial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42AA"/>
    <w:pPr>
      <w:keepNext/>
      <w:keepLines/>
      <w:spacing w:before="240" w:after="120" w:line="360" w:lineRule="auto"/>
      <w:ind w:left="425" w:hanging="357"/>
      <w:outlineLvl w:val="1"/>
    </w:pPr>
    <w:rPr>
      <w:rFonts w:eastAsia="Times New Roman" w:cs="Arial"/>
      <w:b/>
      <w:bCs/>
      <w:color w:val="000000" w:themeColor="tex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2AA"/>
    <w:pPr>
      <w:keepNext/>
      <w:keepLines/>
      <w:spacing w:before="200" w:after="0" w:line="360" w:lineRule="auto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2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442AA"/>
    <w:rPr>
      <w:rFonts w:ascii="Arial" w:eastAsiaTheme="majorEastAsia" w:hAnsi="Arial" w:cstheme="majorBidi"/>
      <w:b/>
      <w:bCs/>
      <w:i/>
      <w:iCs/>
      <w:color w:val="000000" w:themeColor="text1"/>
    </w:rPr>
  </w:style>
  <w:style w:type="paragraph" w:customStyle="1" w:styleId="listapunktowana">
    <w:name w:val="lista punktowana"/>
    <w:basedOn w:val="Normalny"/>
    <w:link w:val="listapunktowanaZnak"/>
    <w:autoRedefine/>
    <w:qFormat/>
    <w:rsid w:val="00955AD0"/>
    <w:pPr>
      <w:numPr>
        <w:numId w:val="2"/>
      </w:numPr>
      <w:spacing w:before="120" w:after="0" w:line="360" w:lineRule="auto"/>
      <w:ind w:left="709" w:hanging="284"/>
      <w:jc w:val="both"/>
    </w:pPr>
    <w:rPr>
      <w:rFonts w:eastAsia="Times New Roman" w:cs="Arial"/>
      <w:lang w:eastAsia="pl-PL"/>
    </w:rPr>
  </w:style>
  <w:style w:type="character" w:customStyle="1" w:styleId="listapunktowanaZnak">
    <w:name w:val="lista punktowana Znak"/>
    <w:basedOn w:val="Domylnaczcionkaakapitu"/>
    <w:link w:val="listapunktowana"/>
    <w:rsid w:val="00955AD0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C6FA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isma">
    <w:name w:val="Treść pisma"/>
    <w:basedOn w:val="Normalny"/>
    <w:autoRedefine/>
    <w:qFormat/>
    <w:rsid w:val="00AB640A"/>
    <w:pPr>
      <w:spacing w:before="120" w:after="0" w:line="360" w:lineRule="auto"/>
      <w:jc w:val="both"/>
    </w:pPr>
  </w:style>
  <w:style w:type="paragraph" w:customStyle="1" w:styleId="Tytutabeli">
    <w:name w:val="Tytuł tabeli"/>
    <w:basedOn w:val="Nagwek5"/>
    <w:next w:val="Normalny"/>
    <w:qFormat/>
    <w:rsid w:val="006442AA"/>
    <w:pPr>
      <w:keepNext w:val="0"/>
      <w:keepLines w:val="0"/>
      <w:numPr>
        <w:numId w:val="5"/>
      </w:numPr>
      <w:spacing w:before="240" w:line="360" w:lineRule="auto"/>
      <w:contextualSpacing/>
      <w:jc w:val="both"/>
    </w:pPr>
    <w:rPr>
      <w:rFonts w:ascii="Arial" w:eastAsiaTheme="minorEastAsia" w:hAnsi="Arial" w:cs="Arial"/>
      <w:b/>
      <w:color w:val="auto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2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6442A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442AA"/>
    <w:rPr>
      <w:rFonts w:ascii="Arial" w:eastAsia="Times New Roman" w:hAnsi="Arial" w:cs="Arial"/>
      <w:b/>
      <w:bCs/>
      <w:color w:val="000000" w:themeColor="text1"/>
      <w:lang w:eastAsia="pl-PL"/>
    </w:rPr>
  </w:style>
  <w:style w:type="paragraph" w:customStyle="1" w:styleId="MiejscowoData">
    <w:name w:val="Miejscowość Data"/>
    <w:basedOn w:val="Normalny"/>
    <w:qFormat/>
    <w:rsid w:val="00B02E0A"/>
    <w:pPr>
      <w:spacing w:after="660" w:line="240" w:lineRule="auto"/>
      <w:jc w:val="right"/>
    </w:pPr>
  </w:style>
  <w:style w:type="paragraph" w:customStyle="1" w:styleId="Piecztka1">
    <w:name w:val="Pieczątka 1"/>
    <w:basedOn w:val="Normalny"/>
    <w:qFormat/>
    <w:rsid w:val="00B02E0A"/>
    <w:pPr>
      <w:spacing w:after="0" w:line="240" w:lineRule="auto"/>
      <w:ind w:left="709" w:right="5103"/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02E0A"/>
    <w:pPr>
      <w:spacing w:after="0" w:line="240" w:lineRule="auto"/>
      <w:ind w:left="709" w:right="5103"/>
      <w:jc w:val="center"/>
    </w:pPr>
    <w:rPr>
      <w:i/>
      <w:sz w:val="22"/>
      <w:szCs w:val="20"/>
    </w:rPr>
  </w:style>
  <w:style w:type="paragraph" w:customStyle="1" w:styleId="Adresat">
    <w:name w:val="Adresat"/>
    <w:basedOn w:val="Normalny"/>
    <w:qFormat/>
    <w:rsid w:val="00B02E0A"/>
    <w:pPr>
      <w:spacing w:after="720" w:line="240" w:lineRule="auto"/>
      <w:ind w:left="4820"/>
      <w:contextualSpacing/>
    </w:pPr>
    <w:rPr>
      <w:sz w:val="28"/>
      <w:szCs w:val="28"/>
    </w:rPr>
  </w:style>
  <w:style w:type="paragraph" w:customStyle="1" w:styleId="Stanowisko">
    <w:name w:val="Stanowisko"/>
    <w:basedOn w:val="Normalny"/>
    <w:qFormat/>
    <w:rsid w:val="00B02E0A"/>
    <w:pPr>
      <w:spacing w:before="600" w:after="600" w:line="240" w:lineRule="auto"/>
      <w:ind w:left="5103"/>
      <w:jc w:val="center"/>
    </w:pPr>
  </w:style>
  <w:style w:type="paragraph" w:customStyle="1" w:styleId="Imiinazwisko">
    <w:name w:val="Imię i nazwisko"/>
    <w:basedOn w:val="Normalny"/>
    <w:qFormat/>
    <w:rsid w:val="00B02E0A"/>
    <w:pPr>
      <w:ind w:left="5103"/>
      <w:contextualSpacing/>
      <w:jc w:val="center"/>
    </w:pPr>
  </w:style>
  <w:style w:type="paragraph" w:customStyle="1" w:styleId="Znaksprawy">
    <w:name w:val="Znak sprawy"/>
    <w:basedOn w:val="Normalny"/>
    <w:qFormat/>
    <w:rsid w:val="00B02E0A"/>
    <w:pPr>
      <w:spacing w:before="240" w:after="400" w:line="240" w:lineRule="auto"/>
      <w:ind w:left="709"/>
    </w:pPr>
  </w:style>
  <w:style w:type="paragraph" w:styleId="Nagwek">
    <w:name w:val="header"/>
    <w:basedOn w:val="Normalny"/>
    <w:link w:val="NagwekZnak"/>
    <w:uiPriority w:val="99"/>
    <w:unhideWhenUsed/>
    <w:rsid w:val="00B0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E0A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02E0A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inorHAnsi" w:eastAsiaTheme="majorEastAsia" w:hAnsiTheme="minorHAnsi" w:cstheme="majorBidi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02E0A"/>
    <w:rPr>
      <w:rFonts w:eastAsiaTheme="majorEastAsia" w:cstheme="maj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2E0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2E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2E0A"/>
    <w:rPr>
      <w:rFonts w:ascii="Arial" w:hAnsi="Arial"/>
      <w:sz w:val="20"/>
      <w:szCs w:val="20"/>
    </w:rPr>
  </w:style>
  <w:style w:type="paragraph" w:customStyle="1" w:styleId="Protokol">
    <w:name w:val="Protokol"/>
    <w:basedOn w:val="Normalny"/>
    <w:link w:val="ProtokolZnak"/>
    <w:qFormat/>
    <w:rsid w:val="00B02E0A"/>
    <w:pPr>
      <w:spacing w:before="120" w:after="0" w:line="360" w:lineRule="auto"/>
      <w:contextualSpacing/>
      <w:jc w:val="both"/>
    </w:pPr>
    <w:rPr>
      <w:rFonts w:eastAsia="Times New Roman" w:cs="Arial"/>
      <w:sz w:val="22"/>
      <w:lang w:eastAsia="pl-PL"/>
    </w:rPr>
  </w:style>
  <w:style w:type="character" w:customStyle="1" w:styleId="ProtokolZnak">
    <w:name w:val="Protokol Znak"/>
    <w:basedOn w:val="Domylnaczcionkaakapitu"/>
    <w:link w:val="Protokol"/>
    <w:rsid w:val="00B02E0A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B02E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02E0A"/>
    <w:rPr>
      <w:rFonts w:ascii="Times New Roman" w:hAnsi="Times New Roman" w:cs="Times New Roman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E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E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E0A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E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E0A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l.gofin.pl/ustawa-z-dnia-27082009-r-o-finansach-publicznych,jrvsni38d,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00B9979DCC4EF09A2C8D21F39E8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76EBD-874C-4B71-8684-946B9D05EEF8}"/>
      </w:docPartPr>
      <w:docPartBody>
        <w:p w:rsidR="00331ACA" w:rsidRDefault="003E666C" w:rsidP="003E666C">
          <w:pPr>
            <w:pStyle w:val="E600B9979DCC4EF09A2C8D21F39E8171"/>
          </w:pPr>
          <w:r>
            <w:t>Prezydent Miasta</w:t>
          </w:r>
          <w:r>
            <w:br/>
            <w:t>Piotrkowa Trybunalskiego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altName w:val="DejaVu Sans"/>
    <w:charset w:val="B1"/>
    <w:family w:val="auto"/>
    <w:pitch w:val="variable"/>
    <w:sig w:usb0="00000800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419E1"/>
    <w:multiLevelType w:val="hybridMultilevel"/>
    <w:tmpl w:val="E7E00388"/>
    <w:lvl w:ilvl="0" w:tplc="E932D6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AD6E9F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36302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B92877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7FAB1F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116ED5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FAC4D7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9A8C9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E845ED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6C"/>
    <w:rsid w:val="00032EE5"/>
    <w:rsid w:val="00331ACA"/>
    <w:rsid w:val="003E666C"/>
    <w:rsid w:val="00D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F7BFFBCF7C74893B1855A72B0D052DB">
    <w:name w:val="0F7BFFBCF7C74893B1855A72B0D052DB"/>
    <w:rsid w:val="003E666C"/>
  </w:style>
  <w:style w:type="paragraph" w:customStyle="1" w:styleId="Trepisma">
    <w:name w:val="Treść pisma"/>
    <w:basedOn w:val="Normalny"/>
    <w:qFormat/>
    <w:rsid w:val="003E666C"/>
    <w:pPr>
      <w:spacing w:after="240" w:line="240" w:lineRule="auto"/>
      <w:ind w:left="709"/>
      <w:contextualSpacing/>
      <w:jc w:val="both"/>
    </w:pPr>
    <w:rPr>
      <w:rFonts w:ascii="Arial" w:eastAsiaTheme="minorHAnsi" w:hAnsi="Arial"/>
      <w:sz w:val="24"/>
      <w:lang w:eastAsia="en-US"/>
    </w:rPr>
  </w:style>
  <w:style w:type="character" w:customStyle="1" w:styleId="Czerwony">
    <w:name w:val="Czerwony"/>
    <w:basedOn w:val="Domylnaczcionkaakapitu"/>
    <w:uiPriority w:val="1"/>
    <w:qFormat/>
    <w:rsid w:val="003E666C"/>
    <w:rPr>
      <w:color w:val="CC00CC"/>
      <w:sz w:val="18"/>
      <w:szCs w:val="18"/>
    </w:rPr>
  </w:style>
  <w:style w:type="paragraph" w:customStyle="1" w:styleId="E600B9979DCC4EF09A2C8D21F39E8171">
    <w:name w:val="E600B9979DCC4EF09A2C8D21F39E8171"/>
    <w:rsid w:val="003E666C"/>
  </w:style>
  <w:style w:type="paragraph" w:customStyle="1" w:styleId="6EC7B6B261D04C07BD807F21CAE37FF6">
    <w:name w:val="6EC7B6B261D04C07BD807F21CAE37FF6"/>
    <w:rsid w:val="003E666C"/>
  </w:style>
  <w:style w:type="paragraph" w:customStyle="1" w:styleId="A88C8626C37F41CABC479C3C1D3EEFC4">
    <w:name w:val="A88C8626C37F41CABC479C3C1D3EEFC4"/>
    <w:rsid w:val="003E66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3744</Words>
  <Characters>22469</Characters>
  <Application>Microsoft Office Word</Application>
  <DocSecurity>4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Kudyba Magdalena</dc:creator>
  <cp:keywords/>
  <dc:description/>
  <cp:lastModifiedBy>Stawarz Izabela</cp:lastModifiedBy>
  <cp:revision>2</cp:revision>
  <dcterms:created xsi:type="dcterms:W3CDTF">2021-02-09T09:42:00Z</dcterms:created>
  <dcterms:modified xsi:type="dcterms:W3CDTF">2021-02-09T09:42:00Z</dcterms:modified>
</cp:coreProperties>
</file>