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86713" w14:textId="77777777" w:rsidR="00A77B3E" w:rsidRPr="003D141F" w:rsidRDefault="003D141F">
      <w:pPr>
        <w:jc w:val="center"/>
        <w:rPr>
          <w:rFonts w:ascii="Arial" w:eastAsia="Arial" w:hAnsi="Arial" w:cs="Arial"/>
          <w:b/>
          <w:caps/>
          <w:sz w:val="24"/>
        </w:rPr>
      </w:pPr>
      <w:r w:rsidRPr="003D141F">
        <w:rPr>
          <w:rFonts w:ascii="Arial" w:eastAsia="Arial" w:hAnsi="Arial" w:cs="Arial"/>
          <w:b/>
          <w:caps/>
          <w:sz w:val="24"/>
        </w:rPr>
        <w:t>Uchwała Nr XXXII/443/21</w:t>
      </w:r>
      <w:r w:rsidRPr="003D141F"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3376FD39" w14:textId="77777777" w:rsidR="00A77B3E" w:rsidRPr="003D141F" w:rsidRDefault="003D141F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 w:rsidRPr="003D141F">
        <w:rPr>
          <w:rFonts w:ascii="Arial" w:eastAsia="Arial" w:hAnsi="Arial" w:cs="Arial"/>
          <w:sz w:val="24"/>
        </w:rPr>
        <w:t>z dnia 27 stycznia 2021 r.</w:t>
      </w:r>
    </w:p>
    <w:p w14:paraId="76DD4BD2" w14:textId="77777777" w:rsidR="00A77B3E" w:rsidRPr="003D141F" w:rsidRDefault="003D141F">
      <w:pPr>
        <w:keepNext/>
        <w:spacing w:after="480"/>
        <w:jc w:val="center"/>
        <w:rPr>
          <w:rFonts w:ascii="Arial" w:eastAsia="Arial" w:hAnsi="Arial" w:cs="Arial"/>
          <w:sz w:val="24"/>
        </w:rPr>
      </w:pPr>
      <w:r w:rsidRPr="003D141F">
        <w:rPr>
          <w:rFonts w:ascii="Arial" w:eastAsia="Arial" w:hAnsi="Arial" w:cs="Arial"/>
          <w:b/>
          <w:sz w:val="24"/>
        </w:rPr>
        <w:t>w sprawie przekazania petycji do rozpatrzenia zgodnie z właściwością</w:t>
      </w:r>
    </w:p>
    <w:p w14:paraId="22B2A882" w14:textId="77777777" w:rsidR="00A77B3E" w:rsidRPr="003D141F" w:rsidRDefault="003D141F" w:rsidP="003D141F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3D141F">
        <w:rPr>
          <w:rFonts w:ascii="Arial" w:hAnsi="Arial" w:cs="Arial"/>
          <w:sz w:val="24"/>
        </w:rPr>
        <w:t>Na podstawie Na podstawie art. 18 ust. 2 pkt 15 ustawy z dnia 8 marca 1990 roku o </w:t>
      </w:r>
      <w:r w:rsidRPr="003D141F">
        <w:rPr>
          <w:rFonts w:ascii="Arial" w:hAnsi="Arial" w:cs="Arial"/>
          <w:sz w:val="24"/>
        </w:rPr>
        <w:t>samorządzie gminnym (Dz. U. z 2020 r. poz. 713, poz. 1378) oraz art. 6 ust. 1 ustawy z dnia 11 lipca 2014 r. o petycjach (Dz.U. z 2018 r. poz. 870) uchwala się, co następuje:</w:t>
      </w:r>
    </w:p>
    <w:p w14:paraId="3AF74863" w14:textId="77777777" w:rsidR="00A77B3E" w:rsidRPr="003D141F" w:rsidRDefault="003D141F" w:rsidP="003D141F">
      <w:pPr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3D141F">
        <w:rPr>
          <w:rFonts w:ascii="Arial" w:hAnsi="Arial" w:cs="Arial"/>
          <w:b/>
          <w:sz w:val="24"/>
        </w:rPr>
        <w:t>§ 1. </w:t>
      </w:r>
      <w:r w:rsidRPr="003D141F">
        <w:rPr>
          <w:rFonts w:ascii="Arial" w:hAnsi="Arial" w:cs="Arial"/>
          <w:sz w:val="24"/>
        </w:rPr>
        <w:t>Przekazuje się do Sejmu Rzeczypospolitej Polskiej, jako do podmiotu właściwe</w:t>
      </w:r>
      <w:r w:rsidRPr="003D141F">
        <w:rPr>
          <w:rFonts w:ascii="Arial" w:hAnsi="Arial" w:cs="Arial"/>
          <w:sz w:val="24"/>
        </w:rPr>
        <w:t>go do rozpatrzenia sprawy, petycję z dnia 10 grudnia 2020 r. (data wpływu: 11 grudnia 2020 r.) o treści zawartej w uzasadnieniu stanowiącym załącznik do niniejszej uchwały.</w:t>
      </w:r>
    </w:p>
    <w:p w14:paraId="3BA0CA8B" w14:textId="77777777" w:rsidR="00A77B3E" w:rsidRPr="003D141F" w:rsidRDefault="003D141F" w:rsidP="003D141F">
      <w:pPr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3D141F">
        <w:rPr>
          <w:rFonts w:ascii="Arial" w:hAnsi="Arial" w:cs="Arial"/>
          <w:b/>
          <w:sz w:val="24"/>
        </w:rPr>
        <w:t>§ 2. </w:t>
      </w:r>
      <w:r w:rsidRPr="003D141F">
        <w:rPr>
          <w:rFonts w:ascii="Arial" w:hAnsi="Arial" w:cs="Arial"/>
          <w:sz w:val="24"/>
        </w:rPr>
        <w:t>Zawiadamia się podmiot wnoszący petycję o przekazaniu petycji podmiotowi właśc</w:t>
      </w:r>
      <w:r w:rsidRPr="003D141F">
        <w:rPr>
          <w:rFonts w:ascii="Arial" w:hAnsi="Arial" w:cs="Arial"/>
          <w:sz w:val="24"/>
        </w:rPr>
        <w:t>iwemu do jej rozpatrzenia.</w:t>
      </w:r>
    </w:p>
    <w:p w14:paraId="42B1F395" w14:textId="53CE919B" w:rsidR="003D141F" w:rsidRPr="003D141F" w:rsidRDefault="003D141F" w:rsidP="003D141F">
      <w:pPr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3D141F">
        <w:rPr>
          <w:rFonts w:ascii="Arial" w:hAnsi="Arial" w:cs="Arial"/>
          <w:b/>
          <w:sz w:val="24"/>
        </w:rPr>
        <w:t>§ 3. </w:t>
      </w:r>
      <w:r w:rsidRPr="003D141F">
        <w:rPr>
          <w:rFonts w:ascii="Arial" w:hAnsi="Arial" w:cs="Arial"/>
          <w:sz w:val="24"/>
        </w:rPr>
        <w:t>Wykonanie uchwały powierza się Przewodniczącemu Rady Miasta Piotrkowa Trybunalskiego.</w:t>
      </w:r>
    </w:p>
    <w:p w14:paraId="3073DCF8" w14:textId="77777777" w:rsidR="00A77B3E" w:rsidRPr="003D141F" w:rsidRDefault="003D141F" w:rsidP="003D141F">
      <w:pPr>
        <w:keepNext/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3D141F">
        <w:rPr>
          <w:rFonts w:ascii="Arial" w:hAnsi="Arial" w:cs="Arial"/>
          <w:b/>
          <w:sz w:val="24"/>
        </w:rPr>
        <w:t>§ 4. </w:t>
      </w:r>
      <w:r w:rsidRPr="003D141F">
        <w:rPr>
          <w:rFonts w:ascii="Arial" w:hAnsi="Arial" w:cs="Arial"/>
          <w:sz w:val="24"/>
        </w:rPr>
        <w:t>Uchwała wchodzi w życie z dniem podjęcia.</w:t>
      </w:r>
    </w:p>
    <w:p w14:paraId="67F0EEBB" w14:textId="77777777" w:rsidR="00A77B3E" w:rsidRPr="003D141F" w:rsidRDefault="00A77B3E" w:rsidP="003D141F">
      <w:pPr>
        <w:keepNext/>
        <w:keepLines/>
        <w:spacing w:line="360" w:lineRule="auto"/>
        <w:ind w:firstLine="340"/>
        <w:rPr>
          <w:rFonts w:ascii="Arial" w:hAnsi="Arial" w:cs="Arial"/>
          <w:sz w:val="24"/>
        </w:rPr>
      </w:pPr>
    </w:p>
    <w:p w14:paraId="21037791" w14:textId="77777777" w:rsidR="00A77B3E" w:rsidRPr="003D141F" w:rsidRDefault="003D141F">
      <w:pPr>
        <w:keepNext/>
        <w:rPr>
          <w:rFonts w:ascii="Arial" w:hAnsi="Arial" w:cs="Arial"/>
          <w:sz w:val="24"/>
        </w:rPr>
      </w:pPr>
      <w:r w:rsidRPr="003D141F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977754" w:rsidRPr="003D141F" w14:paraId="5FE3E3EA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0EC447" w14:textId="77777777" w:rsidR="00977754" w:rsidRPr="003D141F" w:rsidRDefault="00977754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5B8629" w14:textId="77777777" w:rsidR="003D141F" w:rsidRPr="003D141F" w:rsidRDefault="003D141F" w:rsidP="003D141F">
            <w:pPr>
              <w:keepNext/>
              <w:keepLines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D141F">
              <w:rPr>
                <w:rFonts w:ascii="Arial" w:hAnsi="Arial" w:cs="Arial"/>
                <w:color w:val="000000"/>
                <w:sz w:val="24"/>
              </w:rPr>
              <w:t>Przewodniczący</w:t>
            </w:r>
          </w:p>
          <w:p w14:paraId="7136A995" w14:textId="74500037" w:rsidR="003D141F" w:rsidRDefault="003D141F" w:rsidP="003D141F">
            <w:pPr>
              <w:keepNext/>
              <w:keepLines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D141F">
              <w:rPr>
                <w:rFonts w:ascii="Arial" w:hAnsi="Arial" w:cs="Arial"/>
                <w:color w:val="000000"/>
                <w:sz w:val="24"/>
              </w:rPr>
              <w:t>Rady Miasta</w:t>
            </w:r>
          </w:p>
          <w:p w14:paraId="3C252336" w14:textId="77777777" w:rsidR="003D141F" w:rsidRPr="003D141F" w:rsidRDefault="003D141F" w:rsidP="003D141F">
            <w:pPr>
              <w:keepNext/>
              <w:keepLines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14:paraId="5914BF66" w14:textId="77777777" w:rsidR="003D141F" w:rsidRPr="003D141F" w:rsidRDefault="003D141F" w:rsidP="003D141F">
            <w:pPr>
              <w:keepNext/>
              <w:keepLines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D141F">
              <w:rPr>
                <w:rFonts w:ascii="Arial" w:hAnsi="Arial" w:cs="Arial"/>
                <w:color w:val="000000"/>
                <w:sz w:val="24"/>
              </w:rPr>
              <w:t>Marian Błaszczyński</w:t>
            </w:r>
          </w:p>
          <w:p w14:paraId="0BFF9914" w14:textId="77777777" w:rsidR="003D141F" w:rsidRPr="003D141F" w:rsidRDefault="003D141F" w:rsidP="003D141F">
            <w:pPr>
              <w:keepNext/>
              <w:keepLines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14:paraId="67A052C1" w14:textId="77777777" w:rsidR="003D141F" w:rsidRPr="003D141F" w:rsidRDefault="003D141F" w:rsidP="003D141F">
            <w:pPr>
              <w:keepNext/>
              <w:keepLines/>
              <w:ind w:left="1334" w:right="100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41F">
              <w:rPr>
                <w:rFonts w:ascii="Arial" w:hAnsi="Arial" w:cs="Arial"/>
                <w:color w:val="000000"/>
                <w:sz w:val="20"/>
                <w:szCs w:val="20"/>
              </w:rPr>
              <w:t>Dokument podpisany kwalifikowanym podpisem elektronicznym</w:t>
            </w:r>
          </w:p>
          <w:p w14:paraId="0C93A2B0" w14:textId="77777777" w:rsidR="003D141F" w:rsidRPr="003D141F" w:rsidRDefault="003D141F" w:rsidP="003D141F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14:paraId="5A8CA006" w14:textId="2244BB47" w:rsidR="00977754" w:rsidRPr="003D141F" w:rsidRDefault="00977754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44AB6AC3" w14:textId="77777777" w:rsidR="00A77B3E" w:rsidRPr="003D141F" w:rsidRDefault="00A77B3E">
      <w:pPr>
        <w:keepNext/>
        <w:rPr>
          <w:rFonts w:ascii="Arial" w:hAnsi="Arial" w:cs="Arial"/>
          <w:sz w:val="24"/>
        </w:rPr>
        <w:sectPr w:rsidR="00A77B3E" w:rsidRPr="003D141F" w:rsidSect="003D141F">
          <w:footerReference w:type="default" r:id="rId6"/>
          <w:endnotePr>
            <w:numFmt w:val="decimal"/>
          </w:endnotePr>
          <w:pgSz w:w="11906" w:h="16838"/>
          <w:pgMar w:top="850" w:right="1274" w:bottom="1417" w:left="1418" w:header="708" w:footer="708" w:gutter="0"/>
          <w:cols w:space="708"/>
          <w:docGrid w:linePitch="360"/>
        </w:sectPr>
      </w:pPr>
    </w:p>
    <w:p w14:paraId="7F2BA41C" w14:textId="77777777" w:rsidR="00A77B3E" w:rsidRPr="003D141F" w:rsidRDefault="003D141F">
      <w:pPr>
        <w:spacing w:before="120" w:after="120" w:line="360" w:lineRule="auto"/>
        <w:ind w:left="5825"/>
        <w:jc w:val="left"/>
        <w:rPr>
          <w:rFonts w:ascii="Arial" w:hAnsi="Arial" w:cs="Arial"/>
          <w:sz w:val="24"/>
        </w:rPr>
      </w:pPr>
      <w:r w:rsidRPr="003D141F">
        <w:rPr>
          <w:rFonts w:ascii="Arial" w:hAnsi="Arial" w:cs="Arial"/>
          <w:sz w:val="24"/>
        </w:rPr>
        <w:lastRenderedPageBreak/>
        <w:fldChar w:fldCharType="begin"/>
      </w:r>
      <w:r w:rsidRPr="003D141F">
        <w:rPr>
          <w:rFonts w:ascii="Arial" w:hAnsi="Arial" w:cs="Arial"/>
          <w:sz w:val="24"/>
        </w:rPr>
        <w:fldChar w:fldCharType="end"/>
      </w:r>
      <w:r w:rsidRPr="003D141F">
        <w:rPr>
          <w:rFonts w:ascii="Arial" w:hAnsi="Arial" w:cs="Arial"/>
          <w:sz w:val="24"/>
        </w:rPr>
        <w:t>Załącznik do uchwały Nr XXXII/443/21</w:t>
      </w:r>
      <w:r w:rsidRPr="003D141F">
        <w:rPr>
          <w:rFonts w:ascii="Arial" w:hAnsi="Arial" w:cs="Arial"/>
          <w:sz w:val="24"/>
        </w:rPr>
        <w:br/>
        <w:t>Rady Miasta Piotrkowa Trybunalskiego</w:t>
      </w:r>
      <w:r w:rsidRPr="003D141F">
        <w:rPr>
          <w:rFonts w:ascii="Arial" w:hAnsi="Arial" w:cs="Arial"/>
          <w:sz w:val="24"/>
        </w:rPr>
        <w:br/>
        <w:t>z dnia 27 stycznia 2021 r.</w:t>
      </w:r>
    </w:p>
    <w:p w14:paraId="4843CE3E" w14:textId="4B0A0A02" w:rsidR="00A77B3E" w:rsidRPr="003D141F" w:rsidRDefault="003D141F">
      <w:pPr>
        <w:spacing w:before="120" w:after="120"/>
        <w:ind w:left="283" w:firstLine="227"/>
        <w:rPr>
          <w:rFonts w:ascii="Arial" w:hAnsi="Arial" w:cs="Arial"/>
          <w:sz w:val="24"/>
        </w:rPr>
      </w:pPr>
      <w:r w:rsidRPr="003D141F">
        <w:rPr>
          <w:rFonts w:ascii="Arial" w:hAnsi="Arial" w:cs="Arial"/>
          <w:sz w:val="24"/>
        </w:rPr>
        <w:t xml:space="preserve">Do Rady Miasta Piotrkowa Trybunalskiego wpłynęła w dniu 11 grudnia </w:t>
      </w:r>
      <w:r w:rsidRPr="003D141F">
        <w:rPr>
          <w:rFonts w:ascii="Arial" w:hAnsi="Arial" w:cs="Arial"/>
          <w:sz w:val="24"/>
        </w:rPr>
        <w:t>2020 r. petycja, której autor wezwał Radę Miasta do podjęcia uchwały o treści: „Zgodnie z artykułem 32 Konstytucji RP wszyscy są wobec prawa równi. Wszyscy mają prawo do równego traktowania przez władze publiczne. Nikt nie może być dyskryminowany w życiu p</w:t>
      </w:r>
      <w:r w:rsidRPr="003D141F">
        <w:rPr>
          <w:rFonts w:ascii="Arial" w:hAnsi="Arial" w:cs="Arial"/>
          <w:sz w:val="24"/>
        </w:rPr>
        <w:t>olitycznym, społecznym lub gospodarczym z jakiejkolwiek przyczyny. W związku z powyższym za niedopuszczalne uważamy jakiekolwiek działania władz międzynarodowych, krajowych czy lokalnych wykluczające społecznie mieszkańców Miasta Piotrkowa z powodów rasowy</w:t>
      </w:r>
      <w:r w:rsidRPr="003D141F">
        <w:rPr>
          <w:rFonts w:ascii="Arial" w:hAnsi="Arial" w:cs="Arial"/>
          <w:sz w:val="24"/>
        </w:rPr>
        <w:t>ch, religijnych, medycznych czy sanitarnych. Działania rozumiemy jako regulacje prawne, a także wywieranie medialnej czy społecznej presji na urzędników czy funkcjonariuszy, przedsiębiorców, lokalne społeczności czy wspólnoty wyznaniowe zachęcające do jaki</w:t>
      </w:r>
      <w:r w:rsidRPr="003D141F">
        <w:rPr>
          <w:rFonts w:ascii="Arial" w:hAnsi="Arial" w:cs="Arial"/>
          <w:sz w:val="24"/>
        </w:rPr>
        <w:t>ejkolwiek formy segregacji mieszkańców Piotrkowa Trybunalskiego. Jednocześnie przed rozpoczęciem zapowiadanych przez Rząd RP masowych szczepień przeciwko wirusowi SARS-CoV-2, planowanych od 2021 r., których eksperymentalnymi biorcami mają być także mieszka</w:t>
      </w:r>
      <w:r w:rsidRPr="003D141F">
        <w:rPr>
          <w:rFonts w:ascii="Arial" w:hAnsi="Arial" w:cs="Arial"/>
          <w:sz w:val="24"/>
        </w:rPr>
        <w:t xml:space="preserve">ńcy Wolborza, uznajemy za zasadne i nieodzowne, by Rząd RP uzyskał pisemne gwarancje ze strony producentów szczepionek, że w wypadku jakichkolwiek powikłań gotowi są oni przyjąć i ponieść wszelkie </w:t>
      </w:r>
      <w:proofErr w:type="spellStart"/>
      <w:r w:rsidRPr="003D141F">
        <w:rPr>
          <w:rFonts w:ascii="Arial" w:hAnsi="Arial" w:cs="Arial"/>
          <w:sz w:val="24"/>
        </w:rPr>
        <w:t>koszta</w:t>
      </w:r>
      <w:proofErr w:type="spellEnd"/>
      <w:r w:rsidRPr="003D141F">
        <w:rPr>
          <w:rFonts w:ascii="Arial" w:hAnsi="Arial" w:cs="Arial"/>
          <w:sz w:val="24"/>
        </w:rPr>
        <w:t xml:space="preserve"> prawne</w:t>
      </w:r>
      <w:r>
        <w:rPr>
          <w:rFonts w:ascii="Arial" w:hAnsi="Arial" w:cs="Arial"/>
          <w:sz w:val="24"/>
        </w:rPr>
        <w:t xml:space="preserve"> </w:t>
      </w:r>
      <w:r w:rsidRPr="003D141F">
        <w:rPr>
          <w:rFonts w:ascii="Arial" w:hAnsi="Arial" w:cs="Arial"/>
          <w:sz w:val="24"/>
        </w:rPr>
        <w:t>i finansowe wystąpienia niepożądanych odczynó</w:t>
      </w:r>
      <w:r w:rsidRPr="003D141F">
        <w:rPr>
          <w:rFonts w:ascii="Arial" w:hAnsi="Arial" w:cs="Arial"/>
          <w:sz w:val="24"/>
        </w:rPr>
        <w:t>w poszczepiennych. Stanowisko to uzasadniamy artykułem 39 Konstytucji RP zabraniającej poddawania obywateli eksperymentom naukowym, w tym medycznym, bez dobrowolnie wyrażonej zgody”.</w:t>
      </w:r>
    </w:p>
    <w:p w14:paraId="6C4BF4F7" w14:textId="77777777" w:rsidR="00A77B3E" w:rsidRPr="003D141F" w:rsidRDefault="003D141F">
      <w:pPr>
        <w:spacing w:before="120" w:after="120"/>
        <w:ind w:left="283" w:firstLine="227"/>
        <w:rPr>
          <w:rFonts w:ascii="Arial" w:hAnsi="Arial" w:cs="Arial"/>
          <w:sz w:val="24"/>
        </w:rPr>
      </w:pPr>
      <w:r w:rsidRPr="003D141F">
        <w:rPr>
          <w:rFonts w:ascii="Arial" w:hAnsi="Arial" w:cs="Arial"/>
          <w:sz w:val="24"/>
        </w:rPr>
        <w:t>Na okoliczność przedmiotowej petycji zasięgnięta została opinia prawna, z</w:t>
      </w:r>
      <w:r w:rsidRPr="003D141F">
        <w:rPr>
          <w:rFonts w:ascii="Arial" w:hAnsi="Arial" w:cs="Arial"/>
          <w:sz w:val="24"/>
        </w:rPr>
        <w:t xml:space="preserve"> której wynika co następuje: Rada Miasta wykonuje zadania określone dla samorządu gminy ustawą z dnia 8 marca 1990 r. o samorządzie gminnym (Dz. U. 2020 r poz.713 poz.1378) a w przypadku Rady Miasta Piotrkowa Trybunalskiego także i ustawą z dnia 5 czerwca </w:t>
      </w:r>
      <w:r w:rsidRPr="003D141F">
        <w:rPr>
          <w:rFonts w:ascii="Arial" w:hAnsi="Arial" w:cs="Arial"/>
          <w:sz w:val="24"/>
        </w:rPr>
        <w:t>1998 r. o samorządzie powiatowym (Dz.U. 2020 poz. 920). Szeroki zakres zadań Rady Miasta określają także szczegółowe regulacje prawne, jednakże nie sposób je wszystkie w tym miejscu wymienić. Żadna norma prawna zawarta we wskazanych wyżej przepisach, okreś</w:t>
      </w:r>
      <w:r w:rsidRPr="003D141F">
        <w:rPr>
          <w:rFonts w:ascii="Arial" w:hAnsi="Arial" w:cs="Arial"/>
          <w:sz w:val="24"/>
        </w:rPr>
        <w:t>lających zadania rady gminy, nie przewiduje możliwości wypowiadania się przez radę w zakresie sprecyzowanym w petycji. Parlament Rzeczypospolitej Polskiej jest najwyższym organem stanowiącym prawo i może uchwalać przepisy normujące wszelkie aspekty życia o</w:t>
      </w:r>
      <w:r w:rsidRPr="003D141F">
        <w:rPr>
          <w:rFonts w:ascii="Arial" w:hAnsi="Arial" w:cs="Arial"/>
          <w:sz w:val="24"/>
        </w:rPr>
        <w:t>bywateli, związany jest jedynie umowami międzynarodowymi i Konstytucją RP.</w:t>
      </w:r>
    </w:p>
    <w:p w14:paraId="39019CC5" w14:textId="77777777" w:rsidR="00A77B3E" w:rsidRPr="003D141F" w:rsidRDefault="003D141F">
      <w:pPr>
        <w:spacing w:before="120" w:after="120"/>
        <w:ind w:left="283" w:firstLine="227"/>
        <w:rPr>
          <w:rFonts w:ascii="Arial" w:hAnsi="Arial" w:cs="Arial"/>
          <w:sz w:val="24"/>
        </w:rPr>
      </w:pPr>
      <w:r w:rsidRPr="003D141F">
        <w:rPr>
          <w:rFonts w:ascii="Arial" w:hAnsi="Arial" w:cs="Arial"/>
          <w:sz w:val="24"/>
        </w:rPr>
        <w:t>Z uwagi na fakt, iż przedmiot petycji nie mieści się w zakresie zadań i kompetencji jej adresata - Rady Miasta Piotrkowa Trybunalskiego (art. 2 ust. 3 ustawy o petycjach) Komisja Sk</w:t>
      </w:r>
      <w:r w:rsidRPr="003D141F">
        <w:rPr>
          <w:rFonts w:ascii="Arial" w:hAnsi="Arial" w:cs="Arial"/>
          <w:sz w:val="24"/>
        </w:rPr>
        <w:t>arg, Wniosków i Petycji stwierdziła konieczność przekazania petycji, zgodnie z art. 6 ust. 1 ustawy o petycjach, do rozpatrzenia podmiotowi właściwemu, tj. w tym przypadku do Sejmu Rzeczypospolitej Polskiej oraz równoczesnego zawiadomienia podmiotu wnosząc</w:t>
      </w:r>
      <w:r w:rsidRPr="003D141F">
        <w:rPr>
          <w:rFonts w:ascii="Arial" w:hAnsi="Arial" w:cs="Arial"/>
          <w:sz w:val="24"/>
        </w:rPr>
        <w:t>ego petycję.</w:t>
      </w:r>
    </w:p>
    <w:p w14:paraId="0DE800EB" w14:textId="77777777" w:rsidR="00A77B3E" w:rsidRPr="003D141F" w:rsidRDefault="003D141F">
      <w:pPr>
        <w:spacing w:before="120" w:after="120"/>
        <w:ind w:left="283" w:firstLine="227"/>
        <w:rPr>
          <w:rFonts w:ascii="Arial" w:hAnsi="Arial" w:cs="Arial"/>
          <w:sz w:val="24"/>
        </w:rPr>
      </w:pPr>
      <w:r w:rsidRPr="003D141F">
        <w:rPr>
          <w:rFonts w:ascii="Arial" w:hAnsi="Arial" w:cs="Arial"/>
          <w:sz w:val="24"/>
        </w:rPr>
        <w:t>Pouczenie:</w:t>
      </w:r>
    </w:p>
    <w:p w14:paraId="1877F890" w14:textId="77777777" w:rsidR="00A77B3E" w:rsidRPr="003D141F" w:rsidRDefault="003D141F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3D141F">
        <w:rPr>
          <w:rFonts w:ascii="Arial" w:hAnsi="Arial" w:cs="Arial"/>
          <w:sz w:val="24"/>
        </w:rPr>
        <w:t>Zgodnie z art. 13 ust.2 ustawy o petycjach sposób załatwienia petycji nie może być przedmiotem skargi.</w:t>
      </w:r>
    </w:p>
    <w:sectPr w:rsidR="00A77B3E" w:rsidRPr="003D141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F8FC8" w14:textId="77777777" w:rsidR="00000000" w:rsidRDefault="003D141F">
      <w:r>
        <w:separator/>
      </w:r>
    </w:p>
  </w:endnote>
  <w:endnote w:type="continuationSeparator" w:id="0">
    <w:p w14:paraId="32F40523" w14:textId="77777777" w:rsidR="00000000" w:rsidRDefault="003D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5"/>
      <w:gridCol w:w="3019"/>
    </w:tblGrid>
    <w:tr w:rsidR="00977754" w14:paraId="13D530C7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14F03A3" w14:textId="77777777" w:rsidR="00977754" w:rsidRDefault="003D141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97A83B4A-7E73-47C3-806F-AFE0DCE822AE.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F4B38F7" w14:textId="77777777" w:rsidR="00977754" w:rsidRDefault="003D14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4BD0773" w14:textId="77777777" w:rsidR="00977754" w:rsidRDefault="0097775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77754" w14:paraId="016E9666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F8893E5" w14:textId="77777777" w:rsidR="00977754" w:rsidRDefault="003D141F">
          <w:pPr>
            <w:jc w:val="left"/>
            <w:rPr>
              <w:sz w:val="18"/>
            </w:rPr>
          </w:pPr>
          <w:r>
            <w:rPr>
              <w:sz w:val="18"/>
            </w:rPr>
            <w:t>Id: 97A83B4A-7E73-47C3-806F-AFE0DCE822AE.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59EA00C" w14:textId="126A49B2" w:rsidR="00977754" w:rsidRDefault="003D14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A8C76B6" w14:textId="77777777" w:rsidR="00977754" w:rsidRDefault="0097775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760D6" w14:textId="77777777" w:rsidR="00000000" w:rsidRDefault="003D141F">
      <w:r>
        <w:separator/>
      </w:r>
    </w:p>
  </w:footnote>
  <w:footnote w:type="continuationSeparator" w:id="0">
    <w:p w14:paraId="1866AEF3" w14:textId="77777777" w:rsidR="00000000" w:rsidRDefault="003D1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D141F"/>
    <w:rsid w:val="0097775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D3631"/>
  <w15:docId w15:val="{1C71CD6F-AFC8-4FE3-B289-F571B45A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XXXII/443/21 z dnia 27 stycznia 2021 r.</dc:title>
  <dc:subject>w sprawie przekazania petycji do rozpatrzenia zgodnie z^właściwością</dc:subject>
  <dc:creator>Mroz_M</dc:creator>
  <cp:lastModifiedBy>Jarzębska Monika</cp:lastModifiedBy>
  <cp:revision>2</cp:revision>
  <dcterms:created xsi:type="dcterms:W3CDTF">2021-02-02T12:20:00Z</dcterms:created>
  <dcterms:modified xsi:type="dcterms:W3CDTF">2021-02-02T12:20:00Z</dcterms:modified>
  <cp:category>Akt prawny</cp:category>
</cp:coreProperties>
</file>