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2" w:rsidRPr="001F0DB2" w:rsidRDefault="001F0DB2" w:rsidP="00060C0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Załącznik Nr 7</w:t>
      </w:r>
    </w:p>
    <w:p w:rsidR="001F0DB2" w:rsidRPr="001F0DB2" w:rsidRDefault="001F0DB2" w:rsidP="00060C0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do Zarządzenia Nr 394</w:t>
      </w:r>
    </w:p>
    <w:p w:rsidR="001F0DB2" w:rsidRPr="001F0DB2" w:rsidRDefault="001F0DB2" w:rsidP="00060C0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Prezydenta Miasta</w:t>
      </w:r>
    </w:p>
    <w:p w:rsidR="001F0DB2" w:rsidRPr="001F0DB2" w:rsidRDefault="001F0DB2" w:rsidP="00060C0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Piotrkowa Trybunalskiego</w:t>
      </w:r>
    </w:p>
    <w:p w:rsidR="001F0DB2" w:rsidRPr="001F0DB2" w:rsidRDefault="001F0DB2" w:rsidP="00060C0E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 dnia 23 grudnia 2020 roku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WYKAZ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lokalu mieszkalnego nr 17 przy ul. ks. Piotra Ściegiennego 13 w Piotrkowie Trybunalskim przeznaczonego do sprzedaży w trybie bezprzetargowym wraz z ułamkową częścią gruntu</w:t>
      </w:r>
      <w:r w:rsidR="00060C0E">
        <w:rPr>
          <w:rFonts w:ascii="Arial" w:hAnsi="Arial" w:cs="Arial"/>
          <w:color w:val="000000" w:themeColor="text1"/>
        </w:rPr>
        <w:t>.</w:t>
      </w:r>
      <w:r w:rsidRPr="001F0DB2">
        <w:rPr>
          <w:rFonts w:ascii="Arial" w:hAnsi="Arial" w:cs="Arial"/>
          <w:color w:val="000000" w:themeColor="text1"/>
        </w:rPr>
        <w:t xml:space="preserve"> 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 mieszkalny nr 17 mieszczący się w budynku położonym przy ul. ks. Piotra Ściegiennego 13 w Piotrkowie Trybunalskim na działce oznaczonej nr 143/133 w obrębie 20, o pow. 0,1180 ha, dla której prowadzona jest księga wieczysta KW Nr PT1P/00050365/7.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Ww. lokal mieszkalny składa się z pokoju, kuchni, łazienki z wc oraz przedpokoju.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1F0DB2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1F0DB2">
        <w:rPr>
          <w:rFonts w:ascii="Arial" w:hAnsi="Arial" w:cs="Arial"/>
          <w:bCs/>
          <w:color w:val="000000" w:themeColor="text1"/>
        </w:rPr>
        <w:t xml:space="preserve">24,13 </w:t>
      </w:r>
      <w:r w:rsidRPr="001F0DB2">
        <w:rPr>
          <w:rFonts w:ascii="Arial" w:hAnsi="Arial" w:cs="Arial"/>
          <w:color w:val="000000" w:themeColor="text1"/>
        </w:rPr>
        <w:t>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color w:val="000000" w:themeColor="text1"/>
        </w:rPr>
        <w:t xml:space="preserve"> / 2,70 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  <w:vertAlign w:val="superscript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Udział w nieruchomości wspólnej - 2683</w:t>
      </w:r>
      <w:r w:rsidRPr="001F0DB2">
        <w:rPr>
          <w:rFonts w:ascii="Arial" w:hAnsi="Arial" w:cs="Arial"/>
          <w:color w:val="000000" w:themeColor="text1"/>
        </w:rPr>
        <w:t>/208390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1F0DB2">
        <w:rPr>
          <w:rFonts w:ascii="Arial" w:hAnsi="Arial" w:cs="Arial"/>
          <w:color w:val="000000" w:themeColor="text1"/>
        </w:rPr>
        <w:t xml:space="preserve">Zabudowa mieszkaniowa. </w:t>
      </w:r>
      <w:r w:rsidRPr="001F0DB2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nieruchomości:</w:t>
      </w:r>
      <w:r w:rsidRPr="001F0DB2">
        <w:rPr>
          <w:rFonts w:ascii="Arial" w:hAnsi="Arial" w:cs="Arial"/>
          <w:color w:val="000000" w:themeColor="text1"/>
        </w:rPr>
        <w:t xml:space="preserve"> 69.118,00 zł</w:t>
      </w:r>
      <w:r w:rsidRPr="001F0DB2">
        <w:rPr>
          <w:rFonts w:ascii="Arial" w:hAnsi="Arial" w:cs="Arial"/>
          <w:bCs/>
          <w:color w:val="000000" w:themeColor="text1"/>
        </w:rPr>
        <w:t xml:space="preserve"> w tym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lokalu mieszkalnego – 65.298,00 zł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ułamkowej części gruntu – 3.820,00 zł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Cena sprzedaży lokalu mieszkalnego oraz cena ułamkowej części gruntu płatne są najpóźniej do dnia zawarcia umowy cywilnoprawnej w formie aktu notarialnego.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lastRenderedPageBreak/>
        <w:t xml:space="preserve">Koszty związane z zawarciem aktu notarialnego pokrywa nabywca.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1F0DB2">
        <w:rPr>
          <w:rFonts w:ascii="Arial" w:hAnsi="Arial" w:cs="Arial"/>
          <w:bCs/>
          <w:color w:val="000000" w:themeColor="text1"/>
        </w:rPr>
        <w:t>30.12.2020 r.</w:t>
      </w:r>
      <w:r w:rsidRPr="001F0DB2">
        <w:rPr>
          <w:rFonts w:ascii="Arial" w:hAnsi="Arial" w:cs="Arial"/>
          <w:color w:val="000000" w:themeColor="text1"/>
        </w:rPr>
        <w:t xml:space="preserve"> do dnia 20.01.2021 r. na</w:t>
      </w:r>
      <w:r w:rsidRPr="001F0DB2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1F0DB2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1F0DB2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, a informacja wywieszeniu wykazu podana zostanie do publicznej wiadomości w prasie lokalnej o zasięgu obejmującym co najmniej powiat, na terenie którego położona jest nieruchomość. </w:t>
      </w:r>
    </w:p>
    <w:p w:rsidR="00F434D2" w:rsidRPr="001F0DB2" w:rsidRDefault="00F434D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Piotrków Tryb., dnia 23.12 2020 r.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060C0E" w:rsidRDefault="00060C0E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1F0DB2">
        <w:rPr>
          <w:rFonts w:ascii="Arial" w:eastAsiaTheme="minorHAnsi" w:hAnsi="Arial" w:cs="Arial"/>
          <w:lang w:eastAsia="en-US"/>
        </w:rPr>
        <w:t>Prezydent Miasta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Piotrkowa Trybunalskiego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(-) Krzysztof Chojniak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Pr="001F0DB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/>
    <w:sectPr w:rsidR="001F0DB2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1C"/>
    <w:rsid w:val="00060C0E"/>
    <w:rsid w:val="001F0DB2"/>
    <w:rsid w:val="002C196B"/>
    <w:rsid w:val="009973B8"/>
    <w:rsid w:val="00A70275"/>
    <w:rsid w:val="00B82683"/>
    <w:rsid w:val="00C67D1C"/>
    <w:rsid w:val="00DA1760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Stawarz Izabela</cp:lastModifiedBy>
  <cp:revision>3</cp:revision>
  <dcterms:created xsi:type="dcterms:W3CDTF">2020-12-30T11:21:00Z</dcterms:created>
  <dcterms:modified xsi:type="dcterms:W3CDTF">2020-12-30T11:22:00Z</dcterms:modified>
</cp:coreProperties>
</file>