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2" w:rsidRPr="001F0DB2" w:rsidRDefault="001F0DB2" w:rsidP="004E07F4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Załącznik Nr 6</w:t>
      </w:r>
    </w:p>
    <w:p w:rsidR="001F0DB2" w:rsidRPr="001F0DB2" w:rsidRDefault="001F0DB2" w:rsidP="004E07F4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do Zarządzenia Nr 394</w:t>
      </w:r>
    </w:p>
    <w:p w:rsidR="001F0DB2" w:rsidRPr="001F0DB2" w:rsidRDefault="001F0DB2" w:rsidP="004E07F4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Prezydenta Miasta</w:t>
      </w:r>
    </w:p>
    <w:p w:rsidR="001F0DB2" w:rsidRPr="001F0DB2" w:rsidRDefault="001F0DB2" w:rsidP="004E07F4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Piotrkowa Trybunalskiego</w:t>
      </w:r>
    </w:p>
    <w:p w:rsidR="001F0DB2" w:rsidRPr="001F0DB2" w:rsidRDefault="001F0DB2" w:rsidP="004E07F4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 dnia 23 grudnia 2020 roku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WYKAZ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lokalu mieszkalnego nr </w:t>
      </w:r>
      <w:bookmarkStart w:id="0" w:name="_GoBack"/>
      <w:bookmarkEnd w:id="0"/>
      <w:r w:rsidRPr="001F0DB2">
        <w:rPr>
          <w:rFonts w:ascii="Arial" w:hAnsi="Arial" w:cs="Arial"/>
          <w:color w:val="000000" w:themeColor="text1"/>
        </w:rPr>
        <w:t>16 przy ul. Piastowskiej 11 w Piotrkowie Trybunalskim przeznaczonego do sprzedaży w trybie bezprzetargowym</w:t>
      </w:r>
      <w:r w:rsidR="004E07F4">
        <w:rPr>
          <w:rFonts w:ascii="Arial" w:hAnsi="Arial" w:cs="Arial"/>
          <w:color w:val="000000" w:themeColor="text1"/>
        </w:rPr>
        <w:t xml:space="preserve"> wraz z ułamkową częścią gruntu.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 mieszkalny nr  16 mieszczący się w budynku położonym przy ul. Piastowskiej 11 w Piotrkowie Trybunalskim na działce oznaczonej nr 280/2 w obrębie 22, o pow. 0,1764 ha, dla której prowadzona jest księga wieczysta KW Nr PT1P/00044885/3.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Ww. lokal mieszkalny składa się z dwóch pokoi, kuchni, łazienki z </w:t>
      </w:r>
      <w:proofErr w:type="spellStart"/>
      <w:r w:rsidRPr="001F0DB2">
        <w:rPr>
          <w:rFonts w:ascii="Arial" w:hAnsi="Arial" w:cs="Arial"/>
          <w:color w:val="000000" w:themeColor="text1"/>
        </w:rPr>
        <w:t>wc</w:t>
      </w:r>
      <w:proofErr w:type="spellEnd"/>
      <w:r w:rsidRPr="001F0DB2">
        <w:rPr>
          <w:rFonts w:ascii="Arial" w:hAnsi="Arial" w:cs="Arial"/>
          <w:color w:val="000000" w:themeColor="text1"/>
        </w:rPr>
        <w:t xml:space="preserve"> oraz przedpokoju.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1F0DB2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1F0DB2">
        <w:rPr>
          <w:rFonts w:ascii="Arial" w:hAnsi="Arial" w:cs="Arial"/>
          <w:bCs/>
          <w:color w:val="000000" w:themeColor="text1"/>
        </w:rPr>
        <w:t xml:space="preserve">48,70 </w:t>
      </w:r>
      <w:r w:rsidRPr="001F0DB2">
        <w:rPr>
          <w:rFonts w:ascii="Arial" w:hAnsi="Arial" w:cs="Arial"/>
          <w:color w:val="000000" w:themeColor="text1"/>
        </w:rPr>
        <w:t>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color w:val="000000" w:themeColor="text1"/>
        </w:rPr>
        <w:t xml:space="preserve"> / - 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  <w:vertAlign w:val="superscript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Udział w nieruchomości wspólnej - 4870</w:t>
      </w:r>
      <w:r w:rsidRPr="001F0DB2">
        <w:rPr>
          <w:rFonts w:ascii="Arial" w:hAnsi="Arial" w:cs="Arial"/>
          <w:color w:val="000000" w:themeColor="text1"/>
        </w:rPr>
        <w:t>/165079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1F0DB2">
        <w:rPr>
          <w:rFonts w:ascii="Arial" w:hAnsi="Arial" w:cs="Arial"/>
          <w:color w:val="000000" w:themeColor="text1"/>
        </w:rPr>
        <w:t xml:space="preserve">Zabudowa mieszkaniowa. </w:t>
      </w:r>
      <w:r w:rsidRPr="001F0DB2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nieruchomości:</w:t>
      </w:r>
      <w:r w:rsidRPr="001F0DB2">
        <w:rPr>
          <w:rFonts w:ascii="Arial" w:hAnsi="Arial" w:cs="Arial"/>
          <w:color w:val="000000" w:themeColor="text1"/>
        </w:rPr>
        <w:t xml:space="preserve"> 137.073,00 zł</w:t>
      </w:r>
      <w:r w:rsidRPr="001F0DB2">
        <w:rPr>
          <w:rFonts w:ascii="Arial" w:hAnsi="Arial" w:cs="Arial"/>
          <w:bCs/>
          <w:color w:val="000000" w:themeColor="text1"/>
        </w:rPr>
        <w:t xml:space="preserve"> w tym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lokalu mieszkalnego – 123.600,00 zł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ułamkowej części gruntu – 13.473,00 zł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Cena sprzedaży lokalu mieszkalnego oraz cena ułamkowej części gruntu płatne są najpóźniej do dnia zawarcia umowy cywilnoprawnej w formie aktu notarialnego.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lastRenderedPageBreak/>
        <w:t xml:space="preserve">Koszty związane z zawarciem aktu notarialnego pokrywa nabywca.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1F0DB2">
        <w:rPr>
          <w:rFonts w:ascii="Arial" w:hAnsi="Arial" w:cs="Arial"/>
          <w:bCs/>
          <w:color w:val="000000" w:themeColor="text1"/>
        </w:rPr>
        <w:t>30.12.2020 r.</w:t>
      </w:r>
      <w:r w:rsidRPr="001F0DB2">
        <w:rPr>
          <w:rFonts w:ascii="Arial" w:hAnsi="Arial" w:cs="Arial"/>
          <w:color w:val="000000" w:themeColor="text1"/>
        </w:rPr>
        <w:t xml:space="preserve"> do dnia 20.01.2021 r. na</w:t>
      </w:r>
      <w:r w:rsidRPr="001F0DB2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1F0DB2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1F0DB2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, a informacja wywieszeniu wykazu podana zostanie do publicznej wiadomości w prasie lokalnej o zasięgu obejmującym co najmniej powiat, na terenie którego położona jest nieruchomość. </w:t>
      </w:r>
    </w:p>
    <w:p w:rsidR="00F434D2" w:rsidRPr="001F0DB2" w:rsidRDefault="00F434D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Piotrków Tryb., dnia 23.12 2020 r.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4E07F4" w:rsidRDefault="004E07F4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Prezydent Miasta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Piotrkowa Trybunalskiego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(-) Krzysztof Chojniak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Pr="001F0DB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/>
    <w:sectPr w:rsidR="001F0DB2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1C"/>
    <w:rsid w:val="000B0606"/>
    <w:rsid w:val="001F0DB2"/>
    <w:rsid w:val="002C196B"/>
    <w:rsid w:val="004E07F4"/>
    <w:rsid w:val="007E1103"/>
    <w:rsid w:val="00A70275"/>
    <w:rsid w:val="00BA4EC7"/>
    <w:rsid w:val="00BC62FE"/>
    <w:rsid w:val="00C67D1C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Stawarz Izabela</cp:lastModifiedBy>
  <cp:revision>4</cp:revision>
  <dcterms:created xsi:type="dcterms:W3CDTF">2020-12-30T11:05:00Z</dcterms:created>
  <dcterms:modified xsi:type="dcterms:W3CDTF">2020-12-30T11:09:00Z</dcterms:modified>
</cp:coreProperties>
</file>