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2" w:rsidRPr="001F0DB2" w:rsidRDefault="001F0DB2" w:rsidP="006C425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Załącznik Nr 8</w:t>
      </w:r>
    </w:p>
    <w:p w:rsidR="001F0DB2" w:rsidRPr="001F0DB2" w:rsidRDefault="001F0DB2" w:rsidP="006C425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do Zarządzenia Nr 394</w:t>
      </w:r>
    </w:p>
    <w:p w:rsidR="001F0DB2" w:rsidRPr="001F0DB2" w:rsidRDefault="001F0DB2" w:rsidP="006C425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Prezydenta Miasta</w:t>
      </w:r>
    </w:p>
    <w:p w:rsidR="001F0DB2" w:rsidRPr="001F0DB2" w:rsidRDefault="001F0DB2" w:rsidP="006C425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Piotrkowa Trybunalskiego</w:t>
      </w:r>
    </w:p>
    <w:p w:rsidR="001F0DB2" w:rsidRPr="001F0DB2" w:rsidRDefault="001F0DB2" w:rsidP="006C425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 dnia 23 grudnia 2020 roku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WYKAZ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lokalu mieszkalnego nr 65 przy ul. Łódzkiej 35 w Piotrkowie Trybunalskim przeznaczonego do sprzedaży w trybie bezprzetargowym wraz z ułamkową częścią gruntu</w:t>
      </w:r>
      <w:r w:rsidR="006C425E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  <w:r w:rsidRPr="001F0DB2">
        <w:rPr>
          <w:rFonts w:ascii="Arial" w:hAnsi="Arial" w:cs="Arial"/>
          <w:color w:val="000000" w:themeColor="text1"/>
        </w:rPr>
        <w:t xml:space="preserve"> 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 mieszkalny nr 65 mieszczący się w budynku położonym przy ul. Łódzkiej 35 w Piotrkowie Trybunalskim na działce oznaczonej nr 441 w obrębie 14, o pow. 0,3581 ha, dla której prowadzona jest księga wieczysta KW Nr PT1P/00054746/0.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Ww. lokal mieszkalny składa się z trzech pokoi, kuchni, łazienki z wc oraz przedpokoju.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1F0DB2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1F0DB2">
        <w:rPr>
          <w:rFonts w:ascii="Arial" w:hAnsi="Arial" w:cs="Arial"/>
          <w:bCs/>
          <w:color w:val="000000" w:themeColor="text1"/>
        </w:rPr>
        <w:t xml:space="preserve">48,17 </w:t>
      </w:r>
      <w:r w:rsidRPr="001F0DB2">
        <w:rPr>
          <w:rFonts w:ascii="Arial" w:hAnsi="Arial" w:cs="Arial"/>
          <w:color w:val="000000" w:themeColor="text1"/>
        </w:rPr>
        <w:t>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color w:val="000000" w:themeColor="text1"/>
        </w:rPr>
        <w:t xml:space="preserve"> / 3,04 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  <w:vertAlign w:val="superscript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Udział w nieruchomości wspólnej - 5121</w:t>
      </w:r>
      <w:r w:rsidRPr="001F0DB2">
        <w:rPr>
          <w:rFonts w:ascii="Arial" w:hAnsi="Arial" w:cs="Arial"/>
          <w:color w:val="000000" w:themeColor="text1"/>
        </w:rPr>
        <w:t>/350025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1F0DB2">
        <w:rPr>
          <w:rFonts w:ascii="Arial" w:hAnsi="Arial" w:cs="Arial"/>
          <w:color w:val="000000" w:themeColor="text1"/>
        </w:rPr>
        <w:t xml:space="preserve">Zabudowa mieszkaniowa. </w:t>
      </w:r>
      <w:r w:rsidRPr="001F0DB2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nieruchomości:</w:t>
      </w:r>
      <w:r w:rsidRPr="001F0DB2">
        <w:rPr>
          <w:rFonts w:ascii="Arial" w:hAnsi="Arial" w:cs="Arial"/>
          <w:color w:val="000000" w:themeColor="text1"/>
        </w:rPr>
        <w:t xml:space="preserve"> 152.884,00 zł</w:t>
      </w:r>
      <w:r w:rsidRPr="001F0DB2">
        <w:rPr>
          <w:rFonts w:ascii="Arial" w:hAnsi="Arial" w:cs="Arial"/>
          <w:bCs/>
          <w:color w:val="000000" w:themeColor="text1"/>
        </w:rPr>
        <w:t xml:space="preserve"> w tym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lokalu mieszkalnego – 139.320,00 zł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ułamkowej części gruntu – 13.564,00 zł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Cena sprzedaży lokalu mieszkalnego oraz cena ułamkowej części gruntu płatne są najpóźniej do dnia zawarcia umowy cywilnoprawnej w formie aktu notarialnego.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lastRenderedPageBreak/>
        <w:t xml:space="preserve">Koszty związane z zawarciem aktu notarialnego pokrywa nabywca.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1F0DB2">
        <w:rPr>
          <w:rFonts w:ascii="Arial" w:hAnsi="Arial" w:cs="Arial"/>
          <w:bCs/>
          <w:color w:val="000000" w:themeColor="text1"/>
        </w:rPr>
        <w:t>30.12.2020 r.</w:t>
      </w:r>
      <w:r w:rsidRPr="001F0DB2">
        <w:rPr>
          <w:rFonts w:ascii="Arial" w:hAnsi="Arial" w:cs="Arial"/>
          <w:color w:val="000000" w:themeColor="text1"/>
        </w:rPr>
        <w:t xml:space="preserve"> do dnia 20.01.2021 r. na</w:t>
      </w:r>
      <w:r w:rsidRPr="001F0DB2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1F0DB2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1F0DB2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>, a informacja wywieszeniu wykazu podana zostanie do publicznej wiadomości w prasie lokalnej o zasięgu obejmującym co najmniej powiat, na terenie którego po</w:t>
      </w:r>
      <w:r w:rsidR="00F434D2">
        <w:rPr>
          <w:rFonts w:ascii="Arial" w:eastAsia="MS Mincho" w:hAnsi="Arial" w:cs="Arial"/>
          <w:color w:val="000000" w:themeColor="text1"/>
        </w:rPr>
        <w:t>łożona jest ni</w:t>
      </w:r>
      <w:r w:rsidRPr="001F0DB2">
        <w:rPr>
          <w:rFonts w:ascii="Arial" w:eastAsia="MS Mincho" w:hAnsi="Arial" w:cs="Arial"/>
          <w:color w:val="000000" w:themeColor="text1"/>
        </w:rPr>
        <w:t xml:space="preserve">eruchomość. </w:t>
      </w:r>
    </w:p>
    <w:p w:rsidR="00F434D2" w:rsidRPr="001F0DB2" w:rsidRDefault="00F434D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Piotrków Tryb., dnia 23.12 2020 r.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6C425E" w:rsidRDefault="006C425E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Prezydent Miasta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Piotrkowa Trybunalskiego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(-) Krzysztof Chojniak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Pr="001F0DB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Default="001F0DB2"/>
    <w:sectPr w:rsidR="001F0DB2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1C"/>
    <w:rsid w:val="000E2376"/>
    <w:rsid w:val="001F0DB2"/>
    <w:rsid w:val="002C196B"/>
    <w:rsid w:val="004048CA"/>
    <w:rsid w:val="006C425E"/>
    <w:rsid w:val="007A0B12"/>
    <w:rsid w:val="00A70275"/>
    <w:rsid w:val="00C67D1C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Stawarz Izabela</cp:lastModifiedBy>
  <cp:revision>3</cp:revision>
  <dcterms:created xsi:type="dcterms:W3CDTF">2020-12-30T10:59:00Z</dcterms:created>
  <dcterms:modified xsi:type="dcterms:W3CDTF">2020-12-30T11:00:00Z</dcterms:modified>
</cp:coreProperties>
</file>