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1F0DB2">
        <w:rPr>
          <w:rFonts w:ascii="Arial" w:hAnsi="Arial" w:cs="Arial"/>
          <w:color w:val="000000" w:themeColor="text1"/>
        </w:rPr>
        <w:t>Załącznik Nr 2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do Zarządzenia Nr 394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Prezydenta Miasta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Piotrkowa Trybunalskiego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 dnia 23 grudnia 2020 roku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WYKAZ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lokalu mieszkalnego nr 18 przy ul. Wroniej 47 w Piotrkowie Trybunalskim przeznaczonego do sprzedaży w trybie bezprzetargowym wraz z ułamkową częścią gruntu 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Lokal mieszkalny nr 18 mieszczący się w budynku położonym przy ul. Wroniej 47 w Piotrkowie Trybunalskim na działce oznaczonej nr 2/38 w obrębie 42, o pow. 0,4211 ha, dla której prowadzona jest księga wieczysta KW Nr PT1P/00056019/9.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Ww. lokal mieszkalny składa się z trzech pokoi, kuchni, łazienki, wc oraz przedpokoju.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  <w:vertAlign w:val="superscript"/>
        </w:rPr>
      </w:pPr>
      <w:r w:rsidRPr="001F0DB2">
        <w:rPr>
          <w:rFonts w:ascii="Arial" w:hAnsi="Arial" w:cs="Arial"/>
          <w:bCs/>
          <w:color w:val="000000" w:themeColor="text1"/>
        </w:rPr>
        <w:t>Powierzchnia użytkowa lokalu mieszkalnego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bCs/>
          <w:color w:val="000000" w:themeColor="text1"/>
        </w:rPr>
        <w:t>/ powierzchnia pomieszczenia przynależnego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 xml:space="preserve">2 - </w:t>
      </w:r>
      <w:r w:rsidRPr="001F0DB2">
        <w:rPr>
          <w:rFonts w:ascii="Arial" w:hAnsi="Arial" w:cs="Arial"/>
          <w:bCs/>
          <w:color w:val="000000" w:themeColor="text1"/>
        </w:rPr>
        <w:t xml:space="preserve">48,17 </w:t>
      </w:r>
      <w:r w:rsidRPr="001F0DB2">
        <w:rPr>
          <w:rFonts w:ascii="Arial" w:hAnsi="Arial" w:cs="Arial"/>
          <w:color w:val="000000" w:themeColor="text1"/>
        </w:rPr>
        <w:t>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color w:val="000000" w:themeColor="text1"/>
        </w:rPr>
        <w:t xml:space="preserve"> / 3,03 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  <w:vertAlign w:val="superscript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Udział w nieruchomości wspólnej - 5120</w:t>
      </w:r>
      <w:r w:rsidRPr="001F0DB2">
        <w:rPr>
          <w:rFonts w:ascii="Arial" w:hAnsi="Arial" w:cs="Arial"/>
          <w:color w:val="000000" w:themeColor="text1"/>
        </w:rPr>
        <w:t>/348437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 xml:space="preserve">Opis i przeznaczenie nieruchomości - </w:t>
      </w:r>
      <w:r w:rsidRPr="001F0DB2">
        <w:rPr>
          <w:rFonts w:ascii="Arial" w:hAnsi="Arial" w:cs="Arial"/>
          <w:color w:val="000000" w:themeColor="text1"/>
        </w:rPr>
        <w:t xml:space="preserve">Zabudowa mieszkaniowa. </w:t>
      </w:r>
      <w:r w:rsidRPr="001F0DB2">
        <w:rPr>
          <w:rFonts w:ascii="Arial" w:hAnsi="Arial" w:cs="Arial"/>
          <w:bCs/>
          <w:color w:val="000000" w:themeColor="text1"/>
        </w:rPr>
        <w:t>Lokal przeznaczony do sprzedaży w formie bezprzetargowej wraz z udziałem w gruncie.</w:t>
      </w:r>
    </w:p>
    <w:p w:rsidR="001F0DB2" w:rsidRPr="001F0DB2" w:rsidRDefault="001F0DB2" w:rsidP="001F0DB2">
      <w:pPr>
        <w:spacing w:after="160" w:line="360" w:lineRule="auto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nieruchomości:</w:t>
      </w:r>
      <w:r w:rsidRPr="001F0DB2">
        <w:rPr>
          <w:rFonts w:ascii="Arial" w:hAnsi="Arial" w:cs="Arial"/>
          <w:color w:val="000000" w:themeColor="text1"/>
        </w:rPr>
        <w:t xml:space="preserve"> 134.384,00 zł</w:t>
      </w:r>
      <w:r w:rsidRPr="001F0DB2">
        <w:rPr>
          <w:rFonts w:ascii="Arial" w:hAnsi="Arial" w:cs="Arial"/>
          <w:bCs/>
          <w:color w:val="000000" w:themeColor="text1"/>
        </w:rPr>
        <w:t xml:space="preserve"> w tym</w:t>
      </w:r>
    </w:p>
    <w:p w:rsidR="001F0DB2" w:rsidRPr="001F0DB2" w:rsidRDefault="001F0DB2" w:rsidP="001F0DB2">
      <w:pPr>
        <w:spacing w:after="160" w:line="360" w:lineRule="auto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lokalu mieszkalnego – 118.364,00 zł</w:t>
      </w:r>
    </w:p>
    <w:p w:rsidR="001F0DB2" w:rsidRPr="001F0DB2" w:rsidRDefault="001F0DB2" w:rsidP="001F0DB2">
      <w:pPr>
        <w:spacing w:after="160" w:line="360" w:lineRule="auto"/>
        <w:ind w:hanging="284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ułamkowej części gruntu – 16.020,00 zł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Cena sprzedaży lokalu mieszkalnego oraz cena ułamkowej części gruntu płatne są najpóźniej do dnia zawarcia umowy cywilnoprawnej w formie aktu notarialnego. 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Koszty związane z zawarciem aktu notarialnego pokrywa nabywca. 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Wykaz podaje się do publicznej wiadomości poprzez wywieszenie na okres 21 dni tj. od dnia </w:t>
      </w:r>
      <w:r w:rsidRPr="001F0DB2">
        <w:rPr>
          <w:rFonts w:ascii="Arial" w:hAnsi="Arial" w:cs="Arial"/>
          <w:bCs/>
          <w:color w:val="000000" w:themeColor="text1"/>
        </w:rPr>
        <w:t>30.12.2020 r.</w:t>
      </w:r>
      <w:r w:rsidRPr="001F0DB2">
        <w:rPr>
          <w:rFonts w:ascii="Arial" w:hAnsi="Arial" w:cs="Arial"/>
          <w:color w:val="000000" w:themeColor="text1"/>
        </w:rPr>
        <w:t xml:space="preserve"> do dnia 20.01.2021 r. na</w:t>
      </w:r>
      <w:r w:rsidRPr="001F0DB2">
        <w:rPr>
          <w:rFonts w:ascii="Arial" w:eastAsia="MS Mincho" w:hAnsi="Arial" w:cs="Arial"/>
          <w:color w:val="000000" w:themeColor="text1"/>
        </w:rPr>
        <w:t xml:space="preserve"> tablicach ogłoszeń Urzędu Miasta Piotrkowa Tryb. Pasaż Karola Rudowskiego 10 i ul. Szkolna 28, zamieszczenie na stronie internetowej Urzędu Miasta Piotrkowa Trybunalskiego </w:t>
      </w:r>
      <w:hyperlink r:id="rId5" w:history="1">
        <w:r w:rsidRPr="001F0DB2">
          <w:rPr>
            <w:rFonts w:ascii="Arial" w:eastAsia="MS Mincho" w:hAnsi="Arial" w:cs="Arial"/>
            <w:color w:val="000000" w:themeColor="text1"/>
          </w:rPr>
          <w:t>www.piotrkow.pl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 i w Biuletynie Informacji Publicznej </w:t>
      </w:r>
      <w:hyperlink r:id="rId6" w:history="1">
        <w:r w:rsidRPr="001F0DB2">
          <w:rPr>
            <w:rFonts w:ascii="Arial" w:eastAsia="MS Mincho" w:hAnsi="Arial" w:cs="Arial"/>
            <w:color w:val="000000" w:themeColor="text1"/>
          </w:rPr>
          <w:t>www.bip.piotrkow.pl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, a informacja wywieszeniu wykazu podana zostanie do publicznej wiadomości w prasie lokalnej o zasięgu obejmującym co najmniej powiat, na terenie którego położona jest nieruchomość. </w:t>
      </w:r>
    </w:p>
    <w:p w:rsidR="00F434D2" w:rsidRPr="001F0DB2" w:rsidRDefault="00F434D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Pierwszeństwo w nabyciu lokalu/lokali przysługuje osobie/osobom, która/które jest/są najemcą/najemcami lokalu mieszkalnego, a najem został nawiązany na czas nieoznaczony.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Piotrków Tryb., dnia 23.12 2020 r.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Prezydent Miasta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Piotrkowa Trybunalskiego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(-) Krzysztof Chojniak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ind w:hanging="284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ind w:hanging="284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ind w:hanging="284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F434D2" w:rsidRDefault="00F434D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F434D2" w:rsidRPr="001F0DB2" w:rsidRDefault="00F434D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1F0DB2" w:rsidRDefault="001F0DB2"/>
    <w:sectPr w:rsidR="001F0DB2" w:rsidSect="00046D2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52D6"/>
    <w:multiLevelType w:val="hybridMultilevel"/>
    <w:tmpl w:val="285E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17"/>
    <w:multiLevelType w:val="hybridMultilevel"/>
    <w:tmpl w:val="682E30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1C"/>
    <w:rsid w:val="001E287B"/>
    <w:rsid w:val="001F0DB2"/>
    <w:rsid w:val="002C196B"/>
    <w:rsid w:val="00537C4E"/>
    <w:rsid w:val="00A70275"/>
    <w:rsid w:val="00B013D6"/>
    <w:rsid w:val="00C67D1C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57F1-91C1-46DA-953A-C341559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D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1F0D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Stawarz Izabela</cp:lastModifiedBy>
  <cp:revision>2</cp:revision>
  <dcterms:created xsi:type="dcterms:W3CDTF">2020-12-30T10:55:00Z</dcterms:created>
  <dcterms:modified xsi:type="dcterms:W3CDTF">2020-12-30T10:55:00Z</dcterms:modified>
</cp:coreProperties>
</file>