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2E" w:rsidRPr="007C432E" w:rsidRDefault="007C432E" w:rsidP="007C43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 w:bidi="pl-PL"/>
        </w:rPr>
      </w:pPr>
      <w:bookmarkStart w:id="0" w:name="_GoBack"/>
      <w:bookmarkEnd w:id="0"/>
      <w:r w:rsidRPr="007C432E">
        <w:rPr>
          <w:rFonts w:ascii="Times New Roman" w:eastAsia="Times New Roman" w:hAnsi="Times New Roman" w:cs="Times New Roman"/>
          <w:b/>
          <w:szCs w:val="20"/>
          <w:lang w:eastAsia="pl-PL" w:bidi="pl-PL"/>
        </w:rPr>
        <w:t>Uzasadnienie</w:t>
      </w:r>
    </w:p>
    <w:p w:rsidR="007C432E" w:rsidRPr="007C432E" w:rsidRDefault="007C432E" w:rsidP="007C432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7C432E">
        <w:rPr>
          <w:rFonts w:ascii="Times New Roman" w:eastAsia="Times New Roman" w:hAnsi="Times New Roman" w:cs="Times New Roman"/>
          <w:szCs w:val="20"/>
          <w:lang w:eastAsia="pl-PL" w:bidi="pl-PL"/>
        </w:rPr>
        <w:t>Na podstawie art. 59 i art.59a ust. 1 ustawy z dnia 27 sierpnia 2009 r. o finansach publicznych (Dz. U. z 2019 r., poz.869 ze zm.) przygotowano niniejszy projekt uchwały regulujący kwestie zasad, sposobu i trybu udzielania ulg w spłacie oraz niedochodzeniu należności pieniężnych o charakterze cywilnoprawnym.</w:t>
      </w:r>
    </w:p>
    <w:p w:rsidR="007C432E" w:rsidRPr="007C432E" w:rsidRDefault="007C432E" w:rsidP="007C432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7C432E">
        <w:rPr>
          <w:rFonts w:ascii="Times New Roman" w:eastAsia="Times New Roman" w:hAnsi="Times New Roman" w:cs="Times New Roman"/>
          <w:szCs w:val="20"/>
          <w:lang w:eastAsia="pl-PL" w:bidi="pl-PL"/>
        </w:rPr>
        <w:t>Aktualnie obowiązuje do 31 grudnia 2020 r. uchwała Rady Miasta Piotrkowa Trybunalskiego Nr XL/503/17 z dnia 28 czerwca 2017 r. w sprawie szczegółowych zasad, sposobu i trybu udzielania ulg w spłacie oraz niedochodzeniu należności pieniężnych, mających charakter cywilnoprawny, przypadających Miastu Piotrków Trybunalski lub jego jednostkom organizacyjnym (Dz. Urz. Woj. Łódz. 2017.3314), zmieniona Uchwałą Rady Miasta Piotrkowa Trybunalskiego Nr XLV/558/17 z dnia 27 września 2017 r. (Dz. Urz. Woj. Łódz. 2017.4294) oraz Uchwałą Rady Miasta Piotrkowa Trybunalskiego Nr XIX/303/20 z dnia 29 kwietnia 2020 r. (Dz. Urz. Woj. Łódz. 2020.2886).</w:t>
      </w:r>
    </w:p>
    <w:p w:rsidR="007C432E" w:rsidRPr="007C432E" w:rsidRDefault="007C432E" w:rsidP="007C432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7C432E">
        <w:rPr>
          <w:rFonts w:ascii="Times New Roman" w:eastAsia="Times New Roman" w:hAnsi="Times New Roman" w:cs="Times New Roman"/>
          <w:szCs w:val="20"/>
          <w:lang w:eastAsia="pl-PL" w:bidi="pl-PL"/>
        </w:rPr>
        <w:t>Niniejszy projekt uchwały zawiera zapisy uchwały Nr XL/503/17 z dnia 28 czerwca 2017 r. zmienionej uchwałą Rady Miasta Piotrkowa Trybunalskiego Nr XLV/558/17 z dnia 27 września 2017 r., przy czym §§ 4 i 8 zostały dostosowane do zmian wprowadzonych w ustawie o przeciwdziałaniu nadmiernym opóźnieniom w transakcjach handlowych oraz ustawie o finansach publicznych i otrzymują brzmienie:</w:t>
      </w:r>
    </w:p>
    <w:p w:rsidR="007C432E" w:rsidRPr="007C432E" w:rsidRDefault="007C432E" w:rsidP="007C432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</w:pPr>
      <w:r w:rsidRPr="007C432E">
        <w:rPr>
          <w:rFonts w:ascii="Times New Roman" w:eastAsia="Times New Roman" w:hAnsi="Times New Roman" w:cs="Times New Roman"/>
          <w:b/>
          <w:szCs w:val="20"/>
          <w:lang w:eastAsia="pl-PL" w:bidi="pl-PL"/>
        </w:rPr>
        <w:t>§ 4. </w:t>
      </w:r>
      <w:r w:rsidRPr="007C432E"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  <w:t>Na wniosek dłużnika, termin zapłaty należności pieniężnej mającej charakter cywilnoprawny, w całości lub w części może zostać odroczony lub płatność należności w całości lub w części może zostać rozłożona na raty, w przypadku uzasadnionym względami społecznymi lub gospodarczymi, w szczególności możliwościami płatniczymi dłużnika przy uwzględnieniu, że:</w:t>
      </w:r>
    </w:p>
    <w:p w:rsidR="007C432E" w:rsidRPr="007C432E" w:rsidRDefault="007C432E" w:rsidP="007C432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</w:pPr>
      <w:r w:rsidRPr="007C432E"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  <w:t>1)od wierzytelności wynikających ze stosunków cywilnoprawnych, których termin zapłaty odroczono lub których spłatę rozłożono na raty, pobiera się 50% zastrzeżonych w umowie odsetek umownych, a w przypadku braku ich zastrzeżenia:</w:t>
      </w:r>
    </w:p>
    <w:p w:rsidR="007C432E" w:rsidRPr="007C432E" w:rsidRDefault="007C432E" w:rsidP="007C432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</w:pPr>
      <w:r w:rsidRPr="007C432E"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  <w:t>a)50% odsetek ustawowych za opóźnienie w transakcjach handlowych, w przypadku gdy wierzytelność dotyczy przedsiębiorcy,</w:t>
      </w:r>
    </w:p>
    <w:p w:rsidR="007C432E" w:rsidRPr="007C432E" w:rsidRDefault="007C432E" w:rsidP="007C432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</w:pPr>
      <w:r w:rsidRPr="007C432E"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  <w:t>b)50% odsetek ustawowych za opóźnienie, w pozostałych przypadkach,</w:t>
      </w:r>
    </w:p>
    <w:p w:rsidR="007C432E" w:rsidRPr="007C432E" w:rsidRDefault="007C432E" w:rsidP="007C432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</w:pPr>
      <w:r w:rsidRPr="007C432E"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  <w:t>liczonych od dnia złożenia wniosku do dnia obowiązywania ulgi;</w:t>
      </w:r>
    </w:p>
    <w:p w:rsidR="007C432E" w:rsidRPr="007C432E" w:rsidRDefault="007C432E" w:rsidP="007C432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</w:pPr>
      <w:r w:rsidRPr="007C432E"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  <w:t>2) w przypadku niedotrzymania terminu spłaty odroczonych oraz rozłożonych na raty należności pieniężnych, odsetki pobiera się od pierwotnego terminu płatności w pełnej wysokości, do dnia dokonania wpłaty.</w:t>
      </w:r>
    </w:p>
    <w:p w:rsidR="007C432E" w:rsidRPr="007C432E" w:rsidRDefault="007C432E" w:rsidP="007C432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</w:pPr>
      <w:r w:rsidRPr="007C432E">
        <w:rPr>
          <w:rFonts w:ascii="Times New Roman" w:eastAsia="Times New Roman" w:hAnsi="Times New Roman" w:cs="Times New Roman"/>
          <w:b/>
          <w:color w:val="000000"/>
          <w:szCs w:val="20"/>
          <w:u w:color="000000"/>
          <w:lang w:eastAsia="pl-PL" w:bidi="pl-PL"/>
        </w:rPr>
        <w:t>§ 8. </w:t>
      </w:r>
      <w:r w:rsidRPr="007C432E"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  <w:t xml:space="preserve">1. Prezydent Miasta, kierownicy jednostek organizacyjnych Miasta, dyrektorzy samorządowych instytucji kultury oraz Zarząd Towarzystwa Budownictwa Społecznego Spółka z o.o. nie dochodzą należności o charakterze cywilnoprawnym przypadających Miastu lub jednostkom budżetowym lub instytucjom kultury, których kwota wraz z odsetkami nie przekracza 100 zł, a w przypadku należności </w:t>
      </w:r>
      <w:r w:rsidRPr="007C432E"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  <w:lastRenderedPageBreak/>
        <w:t>z tytułu rekompensaty, o której mowa w art. 10 ust.1 pkt 1 ustawy z dnia 8 marca 2013 r. o przeciwdziałaniu nadmiernym opóźnieniom w transakcjach handlowych - jeżeli jej kwota jest równa świadczeniu pieniężnemu w rozumieniu tej ustawy albo większa od tego świadczenia.</w:t>
      </w:r>
    </w:p>
    <w:p w:rsidR="007C432E" w:rsidRPr="007C432E" w:rsidRDefault="007C432E" w:rsidP="007C432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</w:pPr>
      <w:r w:rsidRPr="007C432E"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  <w:t>2. Przepisu § 8 ust.1 nie stosuje się do należności powstałych w związku z realizacją:</w:t>
      </w:r>
    </w:p>
    <w:p w:rsidR="007C432E" w:rsidRPr="007C432E" w:rsidRDefault="007C432E" w:rsidP="007C432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</w:pPr>
      <w:r w:rsidRPr="007C432E"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  <w:t>1) zadań z zakresu administracji rządowej oraz innych zadań zleconych ustawami;</w:t>
      </w:r>
    </w:p>
    <w:p w:rsidR="007C432E" w:rsidRPr="007C432E" w:rsidRDefault="007C432E" w:rsidP="007C432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</w:pPr>
      <w:r w:rsidRPr="007C432E"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  <w:t>2) programów, projektów i zadań finansowanych z udziałem środków, o których mowa art. 5 ust. 1 pkt 2 i pkt 3 ustawy o finansach publicznych.</w:t>
      </w:r>
    </w:p>
    <w:p w:rsidR="007C432E" w:rsidRPr="007C432E" w:rsidRDefault="007C432E" w:rsidP="007C432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</w:pPr>
      <w:r w:rsidRPr="007C432E"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  <w:t xml:space="preserve">Przedmiotowy projekt uchwały będzie stanowił program pomocowy de minimis obowiązujący zgodnie z Rozporządzeniem Komisji (UE) nr 1407/2013 z dnia 18 grudnia 2013 r. </w:t>
      </w:r>
      <w:r w:rsidRPr="007C432E">
        <w:rPr>
          <w:rFonts w:ascii="Times New Roman" w:eastAsia="Times New Roman" w:hAnsi="Times New Roman" w:cs="Times New Roman"/>
          <w:b/>
          <w:color w:val="000000"/>
          <w:szCs w:val="20"/>
          <w:u w:color="000000"/>
          <w:lang w:eastAsia="pl-PL" w:bidi="pl-PL"/>
        </w:rPr>
        <w:t>do 31 grudnia 2023 r</w:t>
      </w:r>
      <w:r w:rsidRPr="007C432E"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  <w:t xml:space="preserve">. </w:t>
      </w:r>
    </w:p>
    <w:p w:rsidR="007C432E" w:rsidRPr="007C432E" w:rsidRDefault="007C432E" w:rsidP="007C432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</w:pPr>
      <w:r w:rsidRPr="007C432E"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  <w:t>Skutek finansowy podjęcia proponowanego projektu uchwały jest trudny do oszacowania. Przyjmuje się, że zaproponowane zmiany nie będą miały istotnego znaczenia i będą porównywalne do danych z lat 2018-2020. W tym okresie kwota udzielonych ulg wyniosła ok. 187 tysięcy złotych.</w:t>
      </w:r>
    </w:p>
    <w:p w:rsidR="007C432E" w:rsidRPr="007C432E" w:rsidRDefault="007C432E" w:rsidP="007C432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</w:pPr>
      <w:r w:rsidRPr="007C432E">
        <w:rPr>
          <w:rFonts w:ascii="Times New Roman" w:eastAsia="Times New Roman" w:hAnsi="Times New Roman" w:cs="Times New Roman"/>
          <w:color w:val="000000"/>
          <w:szCs w:val="20"/>
          <w:u w:color="000000"/>
          <w:lang w:eastAsia="pl-PL" w:bidi="pl-PL"/>
        </w:rPr>
        <w:t>Projekt tej uchwały został zgłoszony w dniu 20 października 2020 r. do Prezesa Urzędu Ochrony Konkurencji i Konsumentów i Ministra Rolnictwa i Rozwoju Wsi. Zarówno Prezes Urzędu Ochrony Konkurencji i Konsumentów i Minister Rolnictwa i Rozwoju Wsi może w ciągu 14 dni przedstawić ewentualne zastrzeżenia dotyczące przejrzystości zasad udzielania pomocy. Do dnia przedłożenia do procedowania  niniejszego projektu nie wpłynęły żadne zastrzeżenia ze strony Prezesa Urzędu Ochrony Konkurencji i Konsumentów i Ministra Rolnictwa i Rozwoju Wsi.</w:t>
      </w:r>
    </w:p>
    <w:p w:rsidR="00384ABF" w:rsidRDefault="00384ABF"/>
    <w:sectPr w:rsidR="00384ABF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0EAA">
      <w:pPr>
        <w:spacing w:after="0" w:line="240" w:lineRule="auto"/>
      </w:pPr>
      <w:r>
        <w:separator/>
      </w:r>
    </w:p>
  </w:endnote>
  <w:endnote w:type="continuationSeparator" w:id="0">
    <w:p w:rsidR="00000000" w:rsidRDefault="00F3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E51B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1BA" w:rsidRDefault="007C432E">
          <w:pPr>
            <w:rPr>
              <w:sz w:val="18"/>
            </w:rPr>
          </w:pPr>
          <w:r>
            <w:rPr>
              <w:sz w:val="18"/>
            </w:rPr>
            <w:t>Id: 84D32FC5-9E39-46C5-AF44-4B64658FF32C.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1BA" w:rsidRDefault="007C43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30EA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E51BA" w:rsidRDefault="00F30EA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0EAA">
      <w:pPr>
        <w:spacing w:after="0" w:line="240" w:lineRule="auto"/>
      </w:pPr>
      <w:r>
        <w:separator/>
      </w:r>
    </w:p>
  </w:footnote>
  <w:footnote w:type="continuationSeparator" w:id="0">
    <w:p w:rsidR="00000000" w:rsidRDefault="00F30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2E"/>
    <w:rsid w:val="00384ABF"/>
    <w:rsid w:val="007C432E"/>
    <w:rsid w:val="00F3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F717F-899D-43A7-B682-F1CC139A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Iwona</dc:creator>
  <cp:keywords/>
  <dc:description/>
  <cp:lastModifiedBy>Jarzębska Monika</cp:lastModifiedBy>
  <cp:revision>2</cp:revision>
  <dcterms:created xsi:type="dcterms:W3CDTF">2020-11-18T12:48:00Z</dcterms:created>
  <dcterms:modified xsi:type="dcterms:W3CDTF">2020-11-18T12:48:00Z</dcterms:modified>
</cp:coreProperties>
</file>