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B3E" w:rsidRDefault="00482FCA">
      <w:pPr>
        <w:jc w:val="center"/>
        <w:rPr>
          <w:b/>
          <w:caps/>
        </w:rPr>
      </w:pPr>
      <w:bookmarkStart w:id="0" w:name="_GoBack"/>
      <w:bookmarkEnd w:id="0"/>
      <w:r>
        <w:rPr>
          <w:b/>
          <w:caps/>
        </w:rPr>
        <w:t>Uchwała Nr XXVIII/397/20</w:t>
      </w:r>
      <w:r>
        <w:rPr>
          <w:b/>
          <w:caps/>
        </w:rPr>
        <w:br/>
        <w:t>Rady Miasta Piotrkowa Trybunalskiego</w:t>
      </w:r>
    </w:p>
    <w:p w:rsidR="00A77B3E" w:rsidRDefault="00482FCA">
      <w:pPr>
        <w:spacing w:before="280" w:after="280"/>
        <w:jc w:val="center"/>
        <w:rPr>
          <w:b/>
          <w:caps/>
        </w:rPr>
      </w:pPr>
      <w:r>
        <w:t>z dnia 29 października 2020 r.</w:t>
      </w:r>
    </w:p>
    <w:p w:rsidR="00A77B3E" w:rsidRDefault="00482FCA">
      <w:pPr>
        <w:keepNext/>
        <w:spacing w:after="480"/>
        <w:jc w:val="center"/>
      </w:pPr>
      <w:r>
        <w:rPr>
          <w:b/>
        </w:rPr>
        <w:t>w sprawie miejscowego planu zagospodarowania przestrzennego w rejonie ulic: Wolborskiej, Życzliwej, Przedniej i rzeki Wierzejki w Piotrkowie Trybunalskim</w:t>
      </w:r>
    </w:p>
    <w:p w:rsidR="00A77B3E" w:rsidRDefault="00482FCA">
      <w:pPr>
        <w:keepLines/>
        <w:spacing w:before="120" w:after="120"/>
        <w:ind w:firstLine="227"/>
      </w:pPr>
      <w:r>
        <w:t xml:space="preserve">Na </w:t>
      </w:r>
      <w:r>
        <w:t>podstawie art. 20 ust. 1 i art. 29 ustawy z dnia 27 marca 2003 r. o planowaniu i zagospodarowaniu przestrzennym (tj. Dz. U. z 2020 r., poz. 293 ze zm.), uchwala się co następuje:</w:t>
      </w:r>
    </w:p>
    <w:p w:rsidR="00A77B3E" w:rsidRDefault="00482FCA">
      <w:pPr>
        <w:keepNext/>
        <w:keepLines/>
        <w:jc w:val="center"/>
      </w:pPr>
      <w:r>
        <w:rPr>
          <w:b/>
          <w:caps/>
        </w:rPr>
        <w:t>Dział I.</w:t>
      </w:r>
      <w:r>
        <w:br/>
      </w:r>
      <w:r>
        <w:rPr>
          <w:b/>
        </w:rPr>
        <w:t>POSTANOWIENIA OGÓLNE</w:t>
      </w:r>
    </w:p>
    <w:p w:rsidR="00A77B3E" w:rsidRDefault="00482FCA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1. </w:t>
      </w:r>
      <w:r>
        <w:t>1. </w:t>
      </w:r>
      <w:r>
        <w:t>Stwierdza się, że miejscowy plan zagosp</w:t>
      </w:r>
      <w:r>
        <w:t>odarowania przestrzennego w rejonie ulic: Wolborskiej, Życzliwej, Przedniej i rzeki Wierzejki w Piotrkowie Trybunalskim, nie narusza ustaleń obowiązującego „Studium uwarunkowań i kierunków zagospodarowania przestrzennego miasta Piotrkowa Trybunalskiego” pr</w:t>
      </w:r>
      <w:r>
        <w:t>zyjętego Uchwałą Nr XLIX/837/06 Rady Miasta Piotrkowa Trybunalskiego z dnia 29 marca 2006 roku z późniejszymi zmianami, przyjętymi Uchwałą Nr XIV/297/11 Rady Miasta Piotrkowa Trybunalskiego z dnia 30 listopada 2011 r., Uchwałą Nr XXVII/359/16 z dnia 26 paź</w:t>
      </w:r>
      <w:r>
        <w:t>dziernika 2016 r. i Uchwałą Nr XLVII/566/17 z dnia 25 października 2017 r.</w:t>
      </w:r>
    </w:p>
    <w:p w:rsidR="00A77B3E" w:rsidRDefault="00482FCA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Uchwala się miejscowy plan zagospodarowania przestrzennego w rejonie ulic: Wolborskiej, Życzliwej, Przedniej i rzeki Wierzejki w Piotrkowie Trybunalskim w granicach określonych w</w:t>
      </w:r>
      <w:r>
        <w:rPr>
          <w:color w:val="000000"/>
          <w:u w:color="000000"/>
        </w:rPr>
        <w:t> Uchwale Nr X/157/19 Rady Miasta Piotrkowa Trybunalskiego z dnia 28 sierpnia 2019 roku w sprawie przystąpienia do sporządzenia miejscowego planu zagospodarowania przestrzennego w rejonie ulic: Wolborskiej, Życzliwej, Przedniej i rzeki Wierzejki w Piotrkowi</w:t>
      </w:r>
      <w:r>
        <w:rPr>
          <w:color w:val="000000"/>
          <w:u w:color="000000"/>
        </w:rPr>
        <w:t>e Trybunalskim.</w:t>
      </w:r>
    </w:p>
    <w:p w:rsidR="00A77B3E" w:rsidRDefault="00482FCA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Granice obszaru objętego planem wyznaczone są na rysunku planu.</w:t>
      </w:r>
    </w:p>
    <w:p w:rsidR="00A77B3E" w:rsidRDefault="00482FCA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Integralną częścią Uchwały są: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rysunek planu, stanowiący załącznik Nr 1 do niniejszej uchwały;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rozstrzygnięcie dotyczące sposobu rozpatrzenia uwag zgłoszonych do </w:t>
      </w:r>
      <w:r>
        <w:rPr>
          <w:color w:val="000000"/>
          <w:u w:color="000000"/>
        </w:rPr>
        <w:t>projektu planu, stanowiące załącznik Nr 2 do niniejszej uchwały;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rozstrzygnięcie dotyczące sposobu realizacji, zapisanych w planie, inwestycji z zakresu infrastruktury technicznej, które należą do zadań własnych gminy oraz zasad ich finansowania, zgodni</w:t>
      </w:r>
      <w:r>
        <w:rPr>
          <w:color w:val="000000"/>
          <w:u w:color="000000"/>
        </w:rPr>
        <w:t>e z przepisami ustawy o finansach publicznych, stanowiące załącznik nr 3 do niniejszej uchwały.</w:t>
      </w:r>
    </w:p>
    <w:p w:rsidR="00A77B3E" w:rsidRDefault="00482FCA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Przedmiotem ustaleń planu są: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tereny rolnicze, łąki - oznaczone na rysunku planu symbolem RŁ;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tereny lasów - oznaczone na rysunku planu symbolem ZL;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3)</w:t>
      </w:r>
      <w:r>
        <w:t> </w:t>
      </w:r>
      <w:r>
        <w:rPr>
          <w:color w:val="000000"/>
          <w:u w:color="000000"/>
        </w:rPr>
        <w:t>tereny dróg publicznych – droga zbiorcza, oznaczona na rysunku planu symbolem KDZ.</w:t>
      </w:r>
    </w:p>
    <w:p w:rsidR="00A77B3E" w:rsidRDefault="00482FCA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t>1. </w:t>
      </w:r>
      <w:r>
        <w:rPr>
          <w:color w:val="000000"/>
          <w:u w:color="000000"/>
        </w:rPr>
        <w:t>Następujące oznaczenia graficzne na rysunku planu są obowiązującymi ustaleniami planu: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granica obszaru objętego planem;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linie rozgraniczające tereny o różnym </w:t>
      </w:r>
      <w:r>
        <w:rPr>
          <w:color w:val="000000"/>
          <w:u w:color="000000"/>
        </w:rPr>
        <w:t>przeznaczeniu lub różnych zasadach zagospodarowania;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przeznaczenie terenów;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strefa kontrolowana dla gazociągu wysokiego ciśnienia.</w:t>
      </w:r>
    </w:p>
    <w:p w:rsidR="00A77B3E" w:rsidRDefault="00482FCA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Pozostałe oznaczenia graficzne na rysunku planu nie wymienione w ust. 1. są oznaczeniami informacyjnymi.</w:t>
      </w:r>
    </w:p>
    <w:p w:rsidR="00A77B3E" w:rsidRDefault="00482FCA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rPr>
          <w:color w:val="000000"/>
          <w:u w:color="000000"/>
        </w:rPr>
        <w:t>Ilekroć w przepisach niniejszej uchwały jest mowa o: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b/>
          <w:color w:val="000000"/>
          <w:u w:color="000000"/>
        </w:rPr>
        <w:t>linii rozgraniczającej tereny o różnym przeznaczeniu lub różnych zasadach zagospodarowania</w:t>
      </w:r>
      <w:r>
        <w:rPr>
          <w:color w:val="000000"/>
          <w:u w:color="000000"/>
        </w:rPr>
        <w:t xml:space="preserve"> – należy przez to rozumieć oznaczoną na rysunku planu linię ciągłą, dzielącą obszar na części o różnym przezn</w:t>
      </w:r>
      <w:r>
        <w:rPr>
          <w:color w:val="000000"/>
          <w:u w:color="000000"/>
        </w:rPr>
        <w:t>aczeniu lub różnych zasadach zagospodarowania;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2) </w:t>
      </w:r>
      <w:r>
        <w:rPr>
          <w:b/>
          <w:color w:val="000000"/>
          <w:u w:color="000000"/>
        </w:rPr>
        <w:t>obszarze planu</w:t>
      </w:r>
      <w:r>
        <w:rPr>
          <w:color w:val="000000"/>
          <w:u w:color="000000"/>
        </w:rPr>
        <w:t xml:space="preserve"> – należy przez to rozumieć obszar objęty planem w granicach przedstawionych na rysunku planu;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b/>
          <w:color w:val="000000"/>
          <w:u w:color="000000"/>
        </w:rPr>
        <w:t>rysunku planu</w:t>
      </w:r>
      <w:r>
        <w:rPr>
          <w:color w:val="000000"/>
          <w:u w:color="000000"/>
        </w:rPr>
        <w:t xml:space="preserve"> - należy przez to rozumieć opracowanie graficzne sporządzone na urzędowej kopii </w:t>
      </w:r>
      <w:r>
        <w:rPr>
          <w:color w:val="000000"/>
          <w:u w:color="000000"/>
        </w:rPr>
        <w:t>mapy zasadniczej, pochodzącej z  państwowego zasobu geodezyjnego i kartograficznego w  skali 1:2000;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b/>
          <w:color w:val="000000"/>
          <w:u w:color="000000"/>
        </w:rPr>
        <w:t>terenie</w:t>
      </w:r>
      <w:r>
        <w:rPr>
          <w:color w:val="000000"/>
          <w:u w:color="000000"/>
        </w:rPr>
        <w:t xml:space="preserve"> - należy przez to rozumieć teren o  określonym przeznaczeniu i zasadach zagospodarowania, wyznaczony na rysunku planu liniami rozgraniczającymi </w:t>
      </w:r>
      <w:r>
        <w:rPr>
          <w:color w:val="000000"/>
          <w:u w:color="000000"/>
        </w:rPr>
        <w:t>oraz oznaczony symbolami cyfrowymi i literowymi, z których cyfry oznaczają kolejny numer terenu, a litery jego przeznaczenie;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b/>
          <w:color w:val="000000"/>
          <w:u w:color="000000"/>
        </w:rPr>
        <w:t xml:space="preserve">powierzchni biologicznie czynnej – </w:t>
      </w:r>
      <w:r>
        <w:rPr>
          <w:color w:val="000000"/>
          <w:u w:color="000000"/>
        </w:rPr>
        <w:t>należy przez to rozumieć teren biologicznie czynny w rozumieniu przepisów odrębnych;</w:t>
      </w:r>
    </w:p>
    <w:p w:rsidR="00A77B3E" w:rsidRDefault="00482FCA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4. </w:t>
      </w:r>
      <w:r>
        <w:rPr>
          <w:color w:val="000000"/>
          <w:u w:color="000000"/>
        </w:rPr>
        <w:t>Dl</w:t>
      </w:r>
      <w:r>
        <w:rPr>
          <w:color w:val="000000"/>
          <w:u w:color="000000"/>
        </w:rPr>
        <w:t>a obszaru, o którym mowa w §1 plan ustala: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terenów oraz linie rozgraniczające tereny o różnym przeznaczeniu lub różnych zasadach zagospodarowania;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zasady ochrony i kształtowania ładu przestrzennego;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zasady ochrony środowiska, </w:t>
      </w:r>
      <w:r>
        <w:rPr>
          <w:color w:val="000000"/>
          <w:u w:color="000000"/>
        </w:rPr>
        <w:t>przyrody i krajobrazu;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zasady kształtowania zabudowy oraz wskaźniki zagospodarowania terenu;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szczególne warunki zagospodarowania terenów oraz ograniczenia w ich użytkowaniu, w tym zakaz zabudowy;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zasady modernizacji, rozbudowy i budowy systemu kom</w:t>
      </w:r>
      <w:r>
        <w:rPr>
          <w:color w:val="000000"/>
          <w:u w:color="000000"/>
        </w:rPr>
        <w:t>unikacji i infrastruktury technicznej;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sposoby i terminy tymczasowego zagospodarowania, urządzania i użytkowania terenów;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stawki procentowe, na podstawie których ustala się opłatę od wzrostu wartości nieruchomości w związku z uchwaleniem planu.</w:t>
      </w:r>
    </w:p>
    <w:p w:rsidR="00A77B3E" w:rsidRDefault="00482FCA">
      <w:pPr>
        <w:keepNext/>
        <w:jc w:val="center"/>
        <w:rPr>
          <w:color w:val="000000"/>
          <w:u w:color="000000"/>
        </w:rPr>
      </w:pPr>
      <w:r>
        <w:rPr>
          <w:b/>
          <w:caps/>
        </w:rPr>
        <w:t>Dział</w:t>
      </w:r>
      <w:r>
        <w:rPr>
          <w:b/>
          <w:caps/>
        </w:rPr>
        <w:t xml:space="preserve"> II.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DLA CAŁEGO OBSZARU OBJĘTEGO PLANEM</w:t>
      </w:r>
    </w:p>
    <w:p w:rsidR="00A77B3E" w:rsidRDefault="00482FCA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5. </w:t>
      </w:r>
      <w:r>
        <w:t>1. </w:t>
      </w:r>
      <w:r>
        <w:rPr>
          <w:color w:val="000000"/>
          <w:u w:color="000000"/>
        </w:rPr>
        <w:t>Ustala się następujące zasady ochrony i kształtowania ładu przestrzennego: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składowania, magazynowania, przetwarzania, konfekcjonowania i obrotu handlowego kopalinami, kruszywami budowlanymi</w:t>
      </w:r>
      <w:r>
        <w:rPr>
          <w:color w:val="000000"/>
          <w:u w:color="000000"/>
        </w:rPr>
        <w:t>, ziemią, torfem, węglem opałowym we wszystkich postaciach, wszelkimi odpadami w rozumieniu przepisów szczególnych.</w:t>
      </w:r>
    </w:p>
    <w:p w:rsidR="00A77B3E" w:rsidRDefault="00482FCA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środowiska, przyrody i krajobrazu: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nakaz stosowania rozwiązań technicznych, technologicznych i organizacyjnych zapewnia</w:t>
      </w:r>
      <w:r>
        <w:rPr>
          <w:color w:val="000000"/>
          <w:u w:color="000000"/>
        </w:rPr>
        <w:t>jących zachowanie standardów jakości środowiska określonych w przepisach odrębnych dotyczących ochrony środowiska;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zakaz lokalizacji przedsięwzięć mogących zawsze znacząco oddziaływać  na środowisko, za wyjątkiem inwestycji celu publicznego z zakresu te</w:t>
      </w:r>
      <w:r>
        <w:rPr>
          <w:color w:val="000000"/>
          <w:u w:color="000000"/>
        </w:rPr>
        <w:t>lekomunikacji oraz infrastruktury technicznej i drogowej;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zakaz lokalizacji przedsięwzięć mogących potencjalnie znacząco oddziaływać na środowisko za wyjątkiem, inwestycji celu publicznego z zakresu telekomunikacji, urządzeń infrastruktury technicznej, </w:t>
      </w:r>
      <w:r>
        <w:rPr>
          <w:color w:val="000000"/>
          <w:u w:color="000000"/>
        </w:rPr>
        <w:t>dróg, obiektów mostowych, budowli przeciwpowodziowych, hydrotechnicznych, zbiorników wodnych, stawów, i urządzeń melioracji wodnych;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obowiązek zachowania z dopuszczeniem przebudowy istniejących rowów służących do odprowadzania wód opadowych;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obowiąze</w:t>
      </w:r>
      <w:r>
        <w:rPr>
          <w:color w:val="000000"/>
          <w:u w:color="000000"/>
        </w:rPr>
        <w:t>k zachowania występujących w granicach opracowania urządzeń melioracji wodnych; w przypadku ich kolizji z projektowanymi obiektami należy je przebudować, zachowując drożność całego systemu, właściwy stan techniczny i kierunek odpływu wody;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 xml:space="preserve">teren objęty </w:t>
      </w:r>
      <w:r>
        <w:rPr>
          <w:color w:val="000000"/>
          <w:u w:color="000000"/>
        </w:rPr>
        <w:t>planem nie podlega ochronie akustycznej;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cały obszar planu znajduje się w granicach Głównego Zbiornika Wód Podziemnych - GZWP nr 401 „Zbiornik Niecka Łódzka”.</w:t>
      </w:r>
    </w:p>
    <w:p w:rsidR="00A77B3E" w:rsidRDefault="00482FCA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Wymagania wynikające z kształtowania przestrzeni publicznych: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1) </w:t>
      </w:r>
      <w:r>
        <w:rPr>
          <w:color w:val="000000"/>
          <w:u w:color="000000"/>
        </w:rPr>
        <w:t>plan nie wyznacza obszarów</w:t>
      </w:r>
      <w:r>
        <w:rPr>
          <w:color w:val="000000"/>
          <w:u w:color="000000"/>
        </w:rPr>
        <w:t xml:space="preserve"> przestrzeni publicznych.</w:t>
      </w:r>
    </w:p>
    <w:p w:rsidR="00A77B3E" w:rsidRDefault="00482FCA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Zasady ochrony dziedzictwa kulturowego i zabytków, w tym krajobrazów kulturowych, oraz dóbr kultury współczesnej: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na obszarze planu nie występują obiekty dziedzictwa kulturowego i zabytków oraz dóbr kultury współczesnej, </w:t>
      </w:r>
      <w:r>
        <w:rPr>
          <w:color w:val="000000"/>
          <w:u w:color="000000"/>
        </w:rPr>
        <w:t>wobec czego plan nie ustala wymagań w tym zakresie.</w:t>
      </w:r>
    </w:p>
    <w:p w:rsidR="00A77B3E" w:rsidRDefault="00482FCA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Granice i sposoby zagospodarowania terenów lub obiektów podlegających ochronie, ustalonych na podstawie odrębnych przepisów, w tym terenów górniczych, a także narażonych na niebezpieczeństwo powodzi, z</w:t>
      </w:r>
      <w:r>
        <w:rPr>
          <w:color w:val="000000"/>
          <w:u w:color="000000"/>
        </w:rPr>
        <w:t>agrożonych osuwaniem się mas ziemnych oraz krajobrazów priorytetowych określonych w audycie krajobrazowym i w planach zagospodarowania przestrzennego województwa: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obszar objęty planem nie leży na terenach górniczych, wobec czego plan nie nakłada wymagań</w:t>
      </w:r>
      <w:r>
        <w:rPr>
          <w:color w:val="000000"/>
          <w:u w:color="000000"/>
        </w:rPr>
        <w:t xml:space="preserve"> w tym zakresie;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obszar objęty planem nie jest narażony na niebezpieczeństwo powodzi, wobec czego plan nie nakłada wymagań w tym zakresie;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na obszarze objętym planem nie występują zjawiska związane z osuwaniem się mas ziemnych, wobec czego plan nie n</w:t>
      </w:r>
      <w:r>
        <w:rPr>
          <w:color w:val="000000"/>
          <w:u w:color="000000"/>
        </w:rPr>
        <w:t>akłada wymagań w tym zakresie;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na obszarze objętym planem brak jest krajobrazów priorytetowych określonych w audycie krajobrazowym oraz w planach zagospodarowania przestrzennego województwa wobec czego plan nie nakłada wymagań w tym zakresie.</w:t>
      </w:r>
    </w:p>
    <w:p w:rsidR="00A77B3E" w:rsidRDefault="00482FCA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Szczegó</w:t>
      </w:r>
      <w:r>
        <w:rPr>
          <w:color w:val="000000"/>
          <w:u w:color="000000"/>
        </w:rPr>
        <w:t>łowe zasady i warunki scalania i podziału nieruchomości: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ustala się zasad scalania i ponownego podziału nieruchomości.</w:t>
      </w:r>
    </w:p>
    <w:p w:rsidR="00A77B3E" w:rsidRDefault="00482FCA">
      <w:pPr>
        <w:keepLines/>
        <w:spacing w:before="120" w:after="120"/>
        <w:ind w:firstLine="340"/>
        <w:rPr>
          <w:color w:val="000000"/>
          <w:u w:color="000000"/>
        </w:rPr>
      </w:pPr>
      <w:r>
        <w:t>7. </w:t>
      </w:r>
      <w:r>
        <w:rPr>
          <w:color w:val="000000"/>
          <w:u w:color="000000"/>
        </w:rPr>
        <w:t>Szczególne warunki zagospodarowania terenów oraz ograniczenia w ich użytkowaniu, w tym zakaz zabudowy: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lokalizacji bud</w:t>
      </w:r>
      <w:r>
        <w:rPr>
          <w:color w:val="000000"/>
          <w:u w:color="000000"/>
        </w:rPr>
        <w:t>ynków z uwzględnieniem § 6 ust. 1 pkt 3;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istniejących gazociągów wysokiego ciśnienia DN300 i DN400 obowiązuje strefa kontrolowana, której szerokość i ograniczenia określają przepisy odrębne;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przypadku likwidacji przebiegu sieci uzbrojenia teren</w:t>
      </w:r>
      <w:r>
        <w:rPr>
          <w:color w:val="000000"/>
          <w:u w:color="000000"/>
        </w:rPr>
        <w:t>u, zakazy dotyczące strefy kontrolowanej nie obowiązują;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 przypadku lokalizacji na terenie nowych sieci i urządzeń infrastruktury technicznej obowiązują ograniczenia w użytkowaniu w strefach wyznaczonych zgodnie z przepisami odrębnymi.</w:t>
      </w:r>
    </w:p>
    <w:p w:rsidR="00A77B3E" w:rsidRDefault="00482FCA">
      <w:pPr>
        <w:keepLines/>
        <w:spacing w:before="120" w:after="120"/>
        <w:ind w:firstLine="340"/>
        <w:rPr>
          <w:color w:val="000000"/>
          <w:u w:color="000000"/>
        </w:rPr>
      </w:pPr>
      <w:r>
        <w:t>8. </w:t>
      </w:r>
      <w:r>
        <w:rPr>
          <w:color w:val="000000"/>
          <w:u w:color="000000"/>
        </w:rPr>
        <w:t>Zasady modern</w:t>
      </w:r>
      <w:r>
        <w:rPr>
          <w:color w:val="000000"/>
          <w:u w:color="000000"/>
        </w:rPr>
        <w:t>izacji, rozbudowy i budowy systemów komunikacji: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ustalenia dla terenów dróg publicznych określono w Dziale III;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stosowanie w ramach jednego terenu jednorodnych pod względem kolorystyki nawierzchni i użytych materiałów dla:</w:t>
      </w:r>
    </w:p>
    <w:p w:rsidR="00A77B3E" w:rsidRDefault="00482FCA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ciągów pieszych,</w:t>
      </w:r>
    </w:p>
    <w:p w:rsidR="00A77B3E" w:rsidRDefault="00482FCA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ście</w:t>
      </w:r>
      <w:r>
        <w:rPr>
          <w:color w:val="000000"/>
          <w:u w:color="000000"/>
        </w:rPr>
        <w:t>żek rowerowych.</w:t>
      </w:r>
    </w:p>
    <w:p w:rsidR="00A77B3E" w:rsidRDefault="00482FCA">
      <w:pPr>
        <w:keepLines/>
        <w:spacing w:before="120" w:after="120"/>
        <w:ind w:firstLine="340"/>
        <w:rPr>
          <w:color w:val="000000"/>
          <w:u w:color="000000"/>
        </w:rPr>
      </w:pPr>
      <w:r>
        <w:t>9. </w:t>
      </w:r>
      <w:r>
        <w:rPr>
          <w:color w:val="000000"/>
          <w:u w:color="000000"/>
        </w:rPr>
        <w:t>Zasady modernizacji, rozbudowy i budowy systemów infrastruktury technicznej: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zakresie lokalizacji obiektów budowlanych w zbliżeniu do sieci infrastruktury technicznej, obowiązują przepisy odrębne;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powiązanie istniejących i projek</w:t>
      </w:r>
      <w:r>
        <w:rPr>
          <w:color w:val="000000"/>
          <w:u w:color="000000"/>
        </w:rPr>
        <w:t>towanych sieci infrastruktury technicznej obszaru planu z układem sieci miejskich realizowane poprzez ich budowę i rozbudowę;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dopuszcza się przebudowę i budowę sieci i urządzeń infrastruktury technicznej, w tym inwestycji celu publicznego z zakresu tele</w:t>
      </w:r>
      <w:r>
        <w:rPr>
          <w:color w:val="000000"/>
          <w:u w:color="000000"/>
        </w:rPr>
        <w:t>komunikacji, na całym terenie objętym planem, z uwzględnieniem przepisów odrębnych i ustaleń szczegółowych określonych w niniejszej uchwale;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dla istniejących gazociągów wysokiego ciśnienia DN 300 i DN 400 obowiązuje strefa kontrolowana, o której mowa w </w:t>
      </w:r>
      <w:r>
        <w:rPr>
          <w:color w:val="000000"/>
          <w:u w:color="000000"/>
        </w:rPr>
        <w:t>§ 5 ust. 7;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5) </w:t>
      </w:r>
      <w:r>
        <w:rPr>
          <w:color w:val="000000"/>
          <w:u w:color="000000"/>
        </w:rPr>
        <w:t>dopuszcza się podział działek dla obiektów budowlanych związanych z infrastrukturą techniczną;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zakaz lokalizacji instalacji wykorzystujących siłę wiatru;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dopuszcza się lokalizację instalacji z ogniw fotowoltaicznych o mocy nieprzekracz</w:t>
      </w:r>
      <w:r>
        <w:rPr>
          <w:color w:val="000000"/>
          <w:u w:color="000000"/>
        </w:rPr>
        <w:t>ającej moc mikroinstalacji;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zakaz lokalizowania obiektów, urządzeń i sieci infrastrukturalnych, które powodują przekroczenie dopuszczalnych poziomów pól elektromagnetycznych określonych w przepisach odrębnych;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na całym terenie objętym planem dla nowo</w:t>
      </w:r>
      <w:r>
        <w:rPr>
          <w:color w:val="000000"/>
          <w:u w:color="000000"/>
        </w:rPr>
        <w:t xml:space="preserve"> realizowanych odcinków dopuszcza się lokalizację wyłącznie podziemnych sieci infrastruktury technicznej.</w:t>
      </w:r>
    </w:p>
    <w:p w:rsidR="00A77B3E" w:rsidRDefault="00482FCA">
      <w:pPr>
        <w:keepLines/>
        <w:spacing w:before="120" w:after="120"/>
        <w:ind w:firstLine="340"/>
        <w:rPr>
          <w:color w:val="000000"/>
          <w:u w:color="000000"/>
        </w:rPr>
      </w:pPr>
      <w:r>
        <w:t>10. </w:t>
      </w:r>
      <w:r>
        <w:rPr>
          <w:color w:val="000000"/>
          <w:u w:color="000000"/>
        </w:rPr>
        <w:t>Ustala się następujące zasady zagospodarowania i wyposażenia terenów w zakresie obronności i w sytuacjach kryzysowych: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obowiązek zapewnienia wy</w:t>
      </w:r>
      <w:r>
        <w:rPr>
          <w:color w:val="000000"/>
          <w:u w:color="000000"/>
        </w:rPr>
        <w:t>korzystania dróg publicznych oraz terenów łąk, do celów p. poż., dla sprzętu ratowniczego i w sytuacjach kryzysowych;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obowiązek zgłoszenia właściwym organom nadzoru nad lotnictwem wojskowym wszystkich obiektów o wysokości 50,0 m n.p.t. i większej w celu</w:t>
      </w:r>
      <w:r>
        <w:rPr>
          <w:color w:val="000000"/>
          <w:u w:color="000000"/>
        </w:rPr>
        <w:t xml:space="preserve"> uzgodnienia lokalizacji i ustalenia sposobu oznakowania przeszkodowego tych obiektów.</w:t>
      </w:r>
    </w:p>
    <w:p w:rsidR="00A77B3E" w:rsidRDefault="00482FCA">
      <w:pPr>
        <w:keepLines/>
        <w:spacing w:before="120" w:after="120"/>
        <w:ind w:firstLine="340"/>
        <w:rPr>
          <w:color w:val="000000"/>
          <w:u w:color="000000"/>
        </w:rPr>
      </w:pPr>
      <w:r>
        <w:t>11. </w:t>
      </w:r>
      <w:r>
        <w:rPr>
          <w:color w:val="000000"/>
          <w:u w:color="000000"/>
        </w:rPr>
        <w:t>Sposób i termin tymczasowego zagospodarowania, urządzania i użytkowania terenów: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ustala się innego sposobu tymczasowego zagospodarowania aniżeli dotychczasowy</w:t>
      </w:r>
      <w:r>
        <w:rPr>
          <w:color w:val="000000"/>
          <w:u w:color="000000"/>
        </w:rPr>
        <w:t>.</w:t>
      </w:r>
    </w:p>
    <w:p w:rsidR="00A77B3E" w:rsidRDefault="00482FCA">
      <w:pPr>
        <w:keepLines/>
        <w:spacing w:before="120" w:after="120"/>
        <w:ind w:firstLine="340"/>
        <w:rPr>
          <w:color w:val="000000"/>
          <w:u w:color="000000"/>
        </w:rPr>
      </w:pPr>
      <w:r>
        <w:t>12. </w:t>
      </w:r>
      <w:r>
        <w:rPr>
          <w:color w:val="000000"/>
          <w:u w:color="000000"/>
        </w:rPr>
        <w:t>Ustala się następującą wysokość jednorazowej opłaty określoną w stosunku procentowym do wzrostu wartości nieruchomości - renta planistyczna, która wynosi 1%.</w:t>
      </w:r>
    </w:p>
    <w:p w:rsidR="00A77B3E" w:rsidRDefault="00482FCA">
      <w:pPr>
        <w:keepNext/>
        <w:keepLines/>
        <w:jc w:val="center"/>
        <w:rPr>
          <w:color w:val="000000"/>
          <w:u w:color="000000"/>
        </w:rPr>
      </w:pPr>
      <w:r>
        <w:rPr>
          <w:b/>
          <w:caps/>
        </w:rPr>
        <w:t>Dział III.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SZCZEGÓŁOWE DLA POSZCZEGÓLNYCH TERENÓW</w:t>
      </w:r>
    </w:p>
    <w:p w:rsidR="00A77B3E" w:rsidRDefault="00482FCA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6. </w:t>
      </w:r>
      <w:r>
        <w:t>1. </w:t>
      </w:r>
      <w:r>
        <w:rPr>
          <w:color w:val="000000"/>
          <w:u w:color="000000"/>
        </w:rPr>
        <w:t>Wyznacza się tereny ozna</w:t>
      </w:r>
      <w:r>
        <w:rPr>
          <w:color w:val="000000"/>
          <w:u w:color="000000"/>
        </w:rPr>
        <w:t>czone na rysunku planu symbolem</w:t>
      </w:r>
      <w:r>
        <w:rPr>
          <w:b/>
          <w:color w:val="000000"/>
          <w:u w:color="000000"/>
        </w:rPr>
        <w:t xml:space="preserve"> 1RŁ, 2RŁ</w:t>
      </w:r>
      <w:r>
        <w:rPr>
          <w:color w:val="000000"/>
          <w:u w:color="000000"/>
        </w:rPr>
        <w:t xml:space="preserve"> – tereny rolnicze, łąki: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podstawowe: łąki, pastwiska, zadrzewienia;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 sieci i urządzenia infrastruktury technicznej, drogi wewnętrzne, ciągi piesze, rowerowe oraz związ</w:t>
      </w:r>
      <w:r>
        <w:rPr>
          <w:color w:val="000000"/>
          <w:u w:color="000000"/>
        </w:rPr>
        <w:t>ane z rekreacją, niekubaturowe obiekty rekreacyjne, obiekty mostowe, przepusty, budowle przeciwpowodziowe, hydrotechniczne, zbiorniki wodne, stawy, urządzenia melioracji wodnych;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dopuszcza się budowę stacji transformatorowych oraz złączy kablowych SN 15</w:t>
      </w:r>
      <w:r>
        <w:rPr>
          <w:color w:val="000000"/>
          <w:u w:color="000000"/>
        </w:rPr>
        <w:t> kV o powierzchni zabudowy do 50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i wysokości do 3,0 m;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minimalny udział powierzchni biologicznie czynnej w odniesieniu do powierzchni działki budowlanej – 85% przy czym dla działek przeznaczonych pod: stacje transformatorowe, sieci i urządzenia infra</w:t>
      </w:r>
      <w:r>
        <w:rPr>
          <w:color w:val="000000"/>
          <w:u w:color="000000"/>
        </w:rPr>
        <w:t>struktury technicznej, drogi wewnętrzne, ciągi piesze, rowerowe oraz związane z rekreacją, obiekty mostowe, przepusty, budowle przeciwpowodziowe, hydrotechniczne – 10%;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zakaz lokalizacji miejsc postojowych o nawierzchni utwardzonej.</w:t>
      </w:r>
    </w:p>
    <w:p w:rsidR="00A77B3E" w:rsidRDefault="00482FCA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 xml:space="preserve">Zasady obsługi </w:t>
      </w:r>
      <w:r>
        <w:rPr>
          <w:color w:val="000000"/>
          <w:u w:color="000000"/>
        </w:rPr>
        <w:t>komunikacyjnej: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obsługa komunikacyjna z drogi publicznej 1KDZ;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obsługa komunikacyjna z dróg nieobjętych opracowaniem.</w:t>
      </w:r>
    </w:p>
    <w:p w:rsidR="00A77B3E" w:rsidRDefault="00482FCA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7. </w:t>
      </w:r>
      <w:r>
        <w:t>1. </w:t>
      </w:r>
      <w:r>
        <w:rPr>
          <w:color w:val="000000"/>
          <w:u w:color="000000"/>
        </w:rPr>
        <w:t xml:space="preserve">Wyznacza się tereny oznaczone na rysunku planu symbolem </w:t>
      </w:r>
      <w:r>
        <w:rPr>
          <w:b/>
          <w:color w:val="000000"/>
          <w:u w:color="000000"/>
        </w:rPr>
        <w:t>1ZL, 2ZL, 3ZL, 4ZL, 5ZL, 6ZL, 7ZL</w:t>
      </w:r>
      <w:r>
        <w:rPr>
          <w:color w:val="000000"/>
          <w:u w:color="000000"/>
        </w:rPr>
        <w:t xml:space="preserve"> - lasy: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przeznaczenie: lasy, pr</w:t>
      </w:r>
      <w:r>
        <w:rPr>
          <w:color w:val="000000"/>
          <w:u w:color="000000"/>
        </w:rPr>
        <w:t>owadzenie gospodarki leśnej;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lokalizację sieci infrastruktury technicznej.</w:t>
      </w:r>
    </w:p>
    <w:p w:rsidR="00A77B3E" w:rsidRDefault="00482FCA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obsługi komunikacyjnej: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obsługa komunikacyjna z dróg publicznych poprzez drogi wewnętrzne.</w:t>
      </w:r>
    </w:p>
    <w:p w:rsidR="00A77B3E" w:rsidRDefault="00482FCA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8.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>1KDZ</w:t>
      </w:r>
      <w:r>
        <w:rPr>
          <w:color w:val="000000"/>
          <w:u w:color="000000"/>
        </w:rPr>
        <w:t xml:space="preserve"> - teren dróg publicznych – droga zbiorcza.</w:t>
      </w:r>
    </w:p>
    <w:p w:rsidR="00A77B3E" w:rsidRDefault="00482FCA">
      <w:pPr>
        <w:keepLines/>
        <w:spacing w:before="120" w:after="120"/>
        <w:ind w:firstLine="340"/>
        <w:rPr>
          <w:color w:val="000000"/>
          <w:u w:color="000000"/>
        </w:rPr>
      </w:pPr>
      <w:r>
        <w:lastRenderedPageBreak/>
        <w:t>2. </w:t>
      </w:r>
      <w:r>
        <w:rPr>
          <w:color w:val="000000"/>
          <w:u w:color="000000"/>
        </w:rPr>
        <w:t>Ustala się następujące warunki zagospodarowania terenu: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szerokość pasa drogowego w liniach rozgraniczających od 16,8 m do 18,1 m;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przeznaczenie </w:t>
      </w:r>
      <w:r>
        <w:rPr>
          <w:color w:val="000000"/>
          <w:u w:color="000000"/>
        </w:rPr>
        <w:t>podstawowe: drogi publiczne wraz z obiektami i urządzeniami związanymi z prowadzeniem, zabezpieczeniem i obsługą ruchu drogowego;</w:t>
      </w:r>
    </w:p>
    <w:p w:rsidR="00A77B3E" w:rsidRDefault="00482FCA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przeznaczenie uzupełniające: sieci i urządzenia infrastruktury technicznej, obiekty mostowe, przepusty, ciągi piesze i rowe</w:t>
      </w:r>
      <w:r>
        <w:rPr>
          <w:color w:val="000000"/>
          <w:u w:color="000000"/>
        </w:rPr>
        <w:t>rowe, przystanki oraz wiaty przystankowe.</w:t>
      </w:r>
    </w:p>
    <w:p w:rsidR="00A77B3E" w:rsidRDefault="00482FCA">
      <w:pPr>
        <w:keepNext/>
        <w:jc w:val="center"/>
        <w:rPr>
          <w:color w:val="000000"/>
          <w:u w:color="000000"/>
        </w:rPr>
      </w:pPr>
      <w:r>
        <w:rPr>
          <w:b/>
          <w:caps/>
        </w:rPr>
        <w:t>Dział IV.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KOŃCOWE</w:t>
      </w:r>
    </w:p>
    <w:p w:rsidR="00A77B3E" w:rsidRDefault="00482FCA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9. </w:t>
      </w:r>
      <w:r>
        <w:rPr>
          <w:color w:val="000000"/>
          <w:u w:color="000000"/>
        </w:rPr>
        <w:t>Uchwała podlega ogłoszeniu w Dzienniku Urzędowym Województwa Łódzkiego i na stronie internetowej Miasta Piotrkowa Trybunalskiego.</w:t>
      </w:r>
    </w:p>
    <w:p w:rsidR="00A77B3E" w:rsidRDefault="00482FCA">
      <w:pPr>
        <w:keepNext/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10. </w:t>
      </w:r>
      <w:r>
        <w:rPr>
          <w:color w:val="000000"/>
          <w:u w:color="000000"/>
        </w:rPr>
        <w:t xml:space="preserve">Uchwała wchodzi w życie po upływie 14 dni od </w:t>
      </w:r>
      <w:r>
        <w:rPr>
          <w:color w:val="000000"/>
          <w:u w:color="000000"/>
        </w:rPr>
        <w:t>dnia ogłoszenia jej w Dzienniku Urzędowym Województwa Łódzkiego.</w:t>
      </w:r>
    </w:p>
    <w:p w:rsidR="00A77B3E" w:rsidRDefault="00A77B3E">
      <w:pPr>
        <w:keepNext/>
        <w:keepLines/>
        <w:spacing w:before="120" w:after="120"/>
        <w:ind w:firstLine="340"/>
        <w:rPr>
          <w:color w:val="000000"/>
          <w:u w:color="000000"/>
        </w:rPr>
      </w:pPr>
    </w:p>
    <w:p w:rsidR="00A77B3E" w:rsidRDefault="00482FCA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8"/>
        <w:gridCol w:w="4938"/>
      </w:tblGrid>
      <w:tr w:rsidR="003D1AEF"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:rsidR="003D1AEF" w:rsidRDefault="003D1AEF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:rsidR="003D1AEF" w:rsidRDefault="00482FCA">
            <w:pPr>
              <w:keepNext/>
              <w:keepLines/>
              <w:spacing w:before="560" w:after="560"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Przewodniczący Rady Miasta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Marian Błaszczyński</w:t>
            </w:r>
          </w:p>
        </w:tc>
      </w:tr>
    </w:tbl>
    <w:p w:rsidR="00A77B3E" w:rsidRDefault="00A77B3E">
      <w:pPr>
        <w:keepNext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:rsidR="00A77B3E" w:rsidRDefault="00482FCA">
      <w:pPr>
        <w:spacing w:before="120" w:after="120" w:line="360" w:lineRule="auto"/>
        <w:ind w:left="4960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1 do uchwały Nr XXVIII/397/20</w:t>
      </w:r>
      <w:r>
        <w:rPr>
          <w:color w:val="000000"/>
          <w:u w:color="000000"/>
        </w:rPr>
        <w:br/>
        <w:t>Rady Miasta Piotrkowa Trybunalskiego</w:t>
      </w:r>
      <w:r>
        <w:rPr>
          <w:color w:val="000000"/>
          <w:u w:color="000000"/>
        </w:rPr>
        <w:br/>
        <w:t>z dnia 29 października 2020 r.</w:t>
      </w:r>
    </w:p>
    <w:p w:rsidR="00A77B3E" w:rsidRDefault="00482FCA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6264910" cy="8857017"/>
            <wp:effectExtent l="0" t="0" r="0" b="0"/>
            <wp:docPr id="100001" name="Obraz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482FCA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6264910" cy="8857017"/>
            <wp:effectExtent l="0" t="0" r="0" b="0"/>
            <wp:docPr id="100003" name="Obraz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482FCA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6264910" cy="8857017"/>
            <wp:effectExtent l="0" t="0" r="0" b="0"/>
            <wp:docPr id="100005" name="Obraz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482FCA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6264910" cy="8857017"/>
            <wp:effectExtent l="0" t="0" r="0" b="0"/>
            <wp:docPr id="100007" name="Obraz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7B3E">
      <w:pPr>
        <w:spacing w:before="120" w:after="120"/>
        <w:ind w:left="283" w:firstLine="227"/>
        <w:jc w:val="left"/>
        <w:rPr>
          <w:color w:val="000000"/>
          <w:u w:color="000000"/>
        </w:rPr>
        <w:sectPr w:rsidR="00A77B3E">
          <w:footerReference w:type="default" r:id="rId15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:rsidR="00A77B3E" w:rsidRDefault="00482FCA">
      <w:pPr>
        <w:keepNext/>
        <w:spacing w:before="120" w:after="120" w:line="360" w:lineRule="auto"/>
        <w:ind w:left="4960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 xml:space="preserve">Załącznik Nr 2 do </w:t>
      </w:r>
      <w:r>
        <w:rPr>
          <w:color w:val="000000"/>
          <w:u w:color="000000"/>
        </w:rPr>
        <w:t>uchwały Nr XXVIII/397/20</w:t>
      </w:r>
      <w:r>
        <w:rPr>
          <w:color w:val="000000"/>
          <w:u w:color="000000"/>
        </w:rPr>
        <w:br/>
        <w:t>Rady Miasta Piotrkowa Trybunalskiego</w:t>
      </w:r>
      <w:r>
        <w:rPr>
          <w:color w:val="000000"/>
          <w:u w:color="000000"/>
        </w:rPr>
        <w:br/>
        <w:t>z dnia 29 października 2020 r.</w:t>
      </w:r>
    </w:p>
    <w:p w:rsidR="00A77B3E" w:rsidRDefault="00482FCA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DOTYCZĄCE SPOSOBU ROZPATRZENIA UWAG ZGŁOSZONYCH DO PROJEKTU PLANU MIEJSCOWEGO</w:t>
      </w:r>
      <w:r>
        <w:rPr>
          <w:b/>
          <w:color w:val="000000"/>
          <w:u w:color="000000"/>
        </w:rPr>
        <w:br/>
        <w:t>Rozstrzygnięcie dotyczące sposobu rozpatrzenia uwag zgłoszonych do pr</w:t>
      </w:r>
      <w:r>
        <w:rPr>
          <w:b/>
          <w:color w:val="000000"/>
          <w:u w:color="000000"/>
        </w:rPr>
        <w:t>ojektu miejscowego planu zagospodarowania przestrzennego w rejonie ulic: Wolborskiej, Życzliwej, Przedniej i rzeki Wierzejki w Piotrkowie Trybunalskim, złożonych do projektu planu w ustawowym terminie do dnia 14 września 2020 r., po wyłożeniu projektu plan</w:t>
      </w:r>
      <w:r>
        <w:rPr>
          <w:b/>
          <w:color w:val="000000"/>
          <w:u w:color="000000"/>
        </w:rPr>
        <w:t>u do publicznego wglądu.</w:t>
      </w:r>
    </w:p>
    <w:p w:rsidR="00A77B3E" w:rsidRDefault="00482FCA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Projekt miejscowego planu zagospodarowania przestrzennego w rejonie ulic: Wolborskiej, Życzliwej, Przedniej i rzeki Wierzejki w Piotrkowie Trybunalskim został wyłożony do publicznego wglądu w dniach od 16 lipca 2020 r. do 6 </w:t>
      </w:r>
      <w:r>
        <w:rPr>
          <w:color w:val="000000"/>
          <w:u w:color="000000"/>
        </w:rPr>
        <w:t>sierpnia 2020 r. Uwagi można było składać do dnia 21 sierpnia 2020 r.</w:t>
      </w:r>
    </w:p>
    <w:p w:rsidR="00A77B3E" w:rsidRDefault="00482FCA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W wyznaczonym w ogłoszeniu terminie wnoszenia uwag dotyczących projektu planu miejscowego wpłynęły 4 uwagi. Prezydent Miasta Piotrkowa Trybunalskiego Zarządzeniem nr 290 z dnia 7 wrześni</w:t>
      </w:r>
      <w:r>
        <w:rPr>
          <w:color w:val="000000"/>
          <w:u w:color="000000"/>
        </w:rPr>
        <w:t>a 2020 r. 1 uwagę uwzględnił, a 3 nie zostały uwzględnione.</w:t>
      </w:r>
    </w:p>
    <w:p w:rsidR="00A77B3E" w:rsidRDefault="00482FCA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W zakresie uwag nieuwzględnionych przez Prezydenta Miasta Piotrkowa Trybunalskiego, Rada Miasta Piotrkowa Trybunalskiego postanowiła przyjąć następujący sposób ich rozpatrzenia.</w:t>
      </w:r>
    </w:p>
    <w:p w:rsidR="00A77B3E" w:rsidRDefault="00482FCA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 xml:space="preserve">Uwagi do projektu </w:t>
      </w:r>
      <w:r>
        <w:rPr>
          <w:color w:val="000000"/>
          <w:u w:color="000000"/>
        </w:rPr>
        <w:t>planu zostały złożone w trakcie dyskusji publicznej w dniu 24 lipca 2020 r. przez Przewodniczącego Rady Osiedla „Leśna”.</w:t>
      </w:r>
    </w:p>
    <w:p w:rsidR="00A77B3E" w:rsidRDefault="00482FCA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val="single" w:color="000000"/>
        </w:rPr>
        <w:t>Uwaga nr 1:</w:t>
      </w:r>
    </w:p>
    <w:p w:rsidR="00A77B3E" w:rsidRDefault="00482FCA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Ponowne rozpatrzenie sprawy likwidacji planowanego zbiornika retencyjnego MESZCZE na obszarze objętym planem, który jest za</w:t>
      </w:r>
      <w:r>
        <w:rPr>
          <w:color w:val="000000"/>
          <w:u w:color="000000"/>
        </w:rPr>
        <w:t>planowany w studium uwarunkowań i kierunków zagospodarowania przestrzennego Miasta Piotrkowa Trybunalskiego przyjętym uchwałą Rady Miasta w dniu 29.03.2006 r.</w:t>
      </w:r>
    </w:p>
    <w:p w:rsidR="00A77B3E" w:rsidRDefault="00482FCA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Wg informacji Nadzoru Wodnego Państwowego Gospodarstwa Wodnego Wody Polskie w Piotrkowie Trybunal</w:t>
      </w:r>
      <w:r>
        <w:rPr>
          <w:color w:val="000000"/>
          <w:u w:color="000000"/>
        </w:rPr>
        <w:t>skim, ul. Młynarska 2 PGW Wody Polskie nie jest przeciwne budowie zbiornika, który jest położony na działkach prywatnych i może być zbudowany z inicjatywy Spółki Wodnej otrzymując dostępne na ten cel dotacje z Agencji Restrukturyzacji i Modernizacji Rolnic</w:t>
      </w:r>
      <w:r>
        <w:rPr>
          <w:color w:val="000000"/>
          <w:u w:color="000000"/>
        </w:rPr>
        <w:t>twa w Łodzi, która oferuje bezpłatnie wykonanie operatorów wodnoprawnych i potrzebnych analiz.</w:t>
      </w:r>
    </w:p>
    <w:p w:rsidR="00A77B3E" w:rsidRDefault="00482FCA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Prezydent Miasta Piotrkowa Trybunalskiego nie uwzględnił uwagi.</w:t>
      </w:r>
    </w:p>
    <w:p w:rsidR="00A77B3E" w:rsidRDefault="00482FCA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Rada Miasta Piotrkowa Trybunalskiego nie wniosła zastrzeżeń do sposobu rozpatrzenia uwagi przez P</w:t>
      </w:r>
      <w:r>
        <w:rPr>
          <w:b/>
          <w:color w:val="000000"/>
          <w:u w:color="000000"/>
        </w:rPr>
        <w:t>rezydenta Miasta Piotrkowa Trybunalskiego.</w:t>
      </w:r>
    </w:p>
    <w:p w:rsidR="00A77B3E" w:rsidRDefault="00482FCA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Wyjaśnienie:</w:t>
      </w:r>
    </w:p>
    <w:p w:rsidR="00A77B3E" w:rsidRDefault="00482FCA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Zarzuty dotyczące likwidacji planowanego zbiornika retencyjnego MESZCZE są nieuzasadnione. Zgodnie z § 6 ust.1 pkt 2 w terenach 1RŁ i 2RŁ dopuszcza się jako przeznaczenie uzupełniające m.in.  zbiornik</w:t>
      </w:r>
      <w:r>
        <w:rPr>
          <w:color w:val="000000"/>
          <w:u w:color="000000"/>
        </w:rPr>
        <w:t>i wodne, stawy, obiekty mostowe, przepusty, budowle przeciwpowodziowe, hydrotechniczne, urządzenia melioracji wodnych, co oznacza, że zgodnie z zapisami planu praktycznie na całym obszarze objętym planem (wyłączając grunty leśne i drogi) możliwa będzie rea</w:t>
      </w:r>
      <w:r>
        <w:rPr>
          <w:color w:val="000000"/>
          <w:u w:color="000000"/>
        </w:rPr>
        <w:t>lizacja zbiornika retencyjnego. Brak wyznaczenia zbiornika retencyjnego na załączniku graficznym wynika z braku możliwości ustalenia na obecnym etapie ostatecznej lokalizacji zbiornika z uwagi na brak przeprowadzonych badań technicznych czy wykonania opera</w:t>
      </w:r>
      <w:r>
        <w:rPr>
          <w:color w:val="000000"/>
          <w:u w:color="000000"/>
        </w:rPr>
        <w:t>tu wodnoprawnego. Dlatego w części tekstowej projektu planu została dopuszczona realizacja zbiornika wodnego, jednak na obecnym etapie nie przesądzono o jego kształcie i konkretnej lokalizacji.</w:t>
      </w:r>
    </w:p>
    <w:p w:rsidR="00A77B3E" w:rsidRDefault="00482FCA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val="single" w:color="000000"/>
        </w:rPr>
        <w:t>Uwaga nr 2:</w:t>
      </w:r>
    </w:p>
    <w:p w:rsidR="00A77B3E" w:rsidRDefault="00482FCA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Objęcie ochroną rzeki Wierzejki od strony wschodni</w:t>
      </w:r>
      <w:r>
        <w:rPr>
          <w:color w:val="000000"/>
          <w:u w:color="000000"/>
        </w:rPr>
        <w:t>ej na obszarze od ulicy Życzliwej do wejścia w tereny nieużytków do działki nr 35/2 obręb 46.</w:t>
      </w:r>
    </w:p>
    <w:p w:rsidR="00A77B3E" w:rsidRDefault="00482FCA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Prezydent Miasta Piotrkowa Trybunalskiego nie uwzględnił uwagi.</w:t>
      </w:r>
    </w:p>
    <w:p w:rsidR="00A77B3E" w:rsidRDefault="00482FCA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lastRenderedPageBreak/>
        <w:t>Rada Miasta Piotrkowa Trybunalskiego nie wniosła zastrzeżeń do sposobu rozpatrzenia uwagi przez Pr</w:t>
      </w:r>
      <w:r>
        <w:rPr>
          <w:b/>
          <w:color w:val="000000"/>
          <w:u w:color="000000"/>
        </w:rPr>
        <w:t>ezydenta Miasta Piotrkowa Trybunalskiego.</w:t>
      </w:r>
    </w:p>
    <w:p w:rsidR="00A77B3E" w:rsidRDefault="00482FCA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Wyjaśnienie:</w:t>
      </w:r>
    </w:p>
    <w:p w:rsidR="00A77B3E" w:rsidRDefault="00482FCA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Postulowana ochrona rzeki Wierzejki od strony wschodniej dotyczy terenów znajdujących się poza granicą obszaru objętego uchwałą Nr X/157/19 Rady Miasta Piotrkowa Trybunalskiego z dnia 28 sierpnia 2019 </w:t>
      </w:r>
      <w:r>
        <w:rPr>
          <w:color w:val="000000"/>
          <w:u w:color="000000"/>
        </w:rPr>
        <w:t>roku w sprawie przystąpienia do sporządzenia miejscowego planu zagospodarowania przestrzennego w rejonie ulic: Wolborskiej, Życzliwej, Przedniej i rzeki Wierzejki w Piotrkowie Trybunalskim. Objęcie ochroną rzeki Wierzejki wiąże się z podjęciem nowej uchwał</w:t>
      </w:r>
      <w:r>
        <w:rPr>
          <w:color w:val="000000"/>
          <w:u w:color="000000"/>
        </w:rPr>
        <w:t>y o przystąpieniu do sporządzenia miejscowego planu zagospodarowania przestrzennego oraz przeprowadzeniem całej procedury planistycznej. Dlatego rozpatrywana uwaga nie tyle powinna dotyczyć obecnego projektu planu zagospodarowania przestrzennego, co powinn</w:t>
      </w:r>
      <w:r>
        <w:rPr>
          <w:color w:val="000000"/>
          <w:u w:color="000000"/>
        </w:rPr>
        <w:t>a zostać złożona jako wniosek do sporządzenia nowego planu. Ponadto ochrona cieków naturalnych uregulowana jest w obowiązujących przepisach Prawa wodnego.</w:t>
      </w:r>
    </w:p>
    <w:p w:rsidR="00A77B3E" w:rsidRDefault="00482FCA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val="single" w:color="000000"/>
        </w:rPr>
        <w:t>Uwaga nr 3:</w:t>
      </w:r>
    </w:p>
    <w:p w:rsidR="00A77B3E" w:rsidRDefault="00482FCA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 xml:space="preserve">Zmianę zapisu w Dziale III § 6 ust. 1 pkt 4 „minimalny udział powierzchni biologicznie </w:t>
      </w:r>
      <w:r>
        <w:rPr>
          <w:color w:val="000000"/>
          <w:u w:color="000000"/>
        </w:rPr>
        <w:t>czynnej w odniesieniu do powierzchni działek przeznaczonych pod: stacje transformatorowe, sieci i urządzenia infrastruktury technicznej, drogi wewnętrzne, ciągi piesze, rowerowe oraz związane z rekreacją, obiekty mostowe, przepusty, budowle przeciwpowodzio</w:t>
      </w:r>
      <w:r>
        <w:rPr>
          <w:color w:val="000000"/>
          <w:u w:color="000000"/>
        </w:rPr>
        <w:t>we, hydrotechniczne – 0%.</w:t>
      </w:r>
    </w:p>
    <w:p w:rsidR="00A77B3E" w:rsidRDefault="00482FCA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Prezydent Miasta Piotrkowa Trybunalskiego nie uwzględnił uwagi.</w:t>
      </w:r>
    </w:p>
    <w:p w:rsidR="00A77B3E" w:rsidRDefault="00482FCA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Rada Miasta Piotrkowa Trybunalskiego nie wniosła zastrzeżeń do sposobu rozpatrzenia uwagi przez Prezydenta Miasta Piotrkowa Trybunalskiego.</w:t>
      </w:r>
    </w:p>
    <w:p w:rsidR="00A77B3E" w:rsidRDefault="00482FCA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Wyjaśnienie:</w:t>
      </w:r>
    </w:p>
    <w:p w:rsidR="00A77B3E" w:rsidRDefault="00482FCA">
      <w:pPr>
        <w:spacing w:before="120" w:after="120"/>
        <w:ind w:left="283" w:firstLine="227"/>
        <w:rPr>
          <w:color w:val="000000"/>
          <w:u w:color="000000"/>
        </w:rPr>
        <w:sectPr w:rsidR="00A77B3E">
          <w:footerReference w:type="default" r:id="rId16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  <w:r>
        <w:rPr>
          <w:color w:val="000000"/>
          <w:u w:color="000000"/>
        </w:rPr>
        <w:t xml:space="preserve">W III § 6 ust. 1 pkt 4 ustalono minimalny udział powierzchni biologicznie czynnej w odniesieniu do działek przeznaczonych pod: stacje transformatorowe, sieci i urządzenia </w:t>
      </w:r>
      <w:r>
        <w:rPr>
          <w:color w:val="000000"/>
          <w:u w:color="000000"/>
        </w:rPr>
        <w:t>infrastruktury technicznej, drogi wewnętrzne, ciągi piesze, rowerowe oraz związane z rekreacją, obiekty mostowe, przepusty, budowle przeciwpowodziowe, hydrotechniczne – 10%. Ustalony wskaźnik wynika m.in. z konieczności zapewnienia na każdej działce terenu</w:t>
      </w:r>
      <w:r>
        <w:rPr>
          <w:color w:val="000000"/>
          <w:u w:color="000000"/>
        </w:rPr>
        <w:t xml:space="preserve"> biologicznie czynnego tak aby wody opadowe z terenu działki mogły być odprowadzane na własną działkę. Sugerowany wskaźnik 0% mógłby powodować odprowadzenie wód opadowych na działki sąsiednie.</w:t>
      </w:r>
    </w:p>
    <w:p w:rsidR="00A77B3E" w:rsidRDefault="00482FCA">
      <w:pPr>
        <w:keepNext/>
        <w:spacing w:before="120" w:after="120" w:line="360" w:lineRule="auto"/>
        <w:ind w:left="4960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3 do uchwały Nr XXVIII/397/20</w:t>
      </w:r>
      <w:r>
        <w:rPr>
          <w:color w:val="000000"/>
          <w:u w:color="000000"/>
        </w:rPr>
        <w:br/>
        <w:t>Rady Miasta Piotrk</w:t>
      </w:r>
      <w:r>
        <w:rPr>
          <w:color w:val="000000"/>
          <w:u w:color="000000"/>
        </w:rPr>
        <w:t>owa Trybunalskiego</w:t>
      </w:r>
      <w:r>
        <w:rPr>
          <w:color w:val="000000"/>
          <w:u w:color="000000"/>
        </w:rPr>
        <w:br/>
        <w:t>z dnia 29 października 2020 r.</w:t>
      </w:r>
    </w:p>
    <w:p w:rsidR="00A77B3E" w:rsidRDefault="00482FCA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DOTYCZĄCE SPOSOBU REALIZACJI ZAPISANYCH</w:t>
      </w:r>
      <w:r>
        <w:rPr>
          <w:b/>
          <w:color w:val="000000"/>
          <w:u w:color="000000"/>
        </w:rPr>
        <w:br/>
        <w:t>W PLANIE MIEJSCOWYM INWESTYCJI Z ZAKRESU INFRASTRUKTURY TECHNICZNEJ, KTÓRE NALEŻĄ DO ZADAŃ WŁASNYCH GMINY ORAZ ZASADACH ICH FINANSOWANIA, ZGODNIE Z PR</w:t>
      </w:r>
      <w:r>
        <w:rPr>
          <w:b/>
          <w:color w:val="000000"/>
          <w:u w:color="000000"/>
        </w:rPr>
        <w:t>ZEPISAMI O FINANSACH PUBLICZNYCH</w:t>
      </w:r>
    </w:p>
    <w:p w:rsidR="00A77B3E" w:rsidRDefault="00482FCA">
      <w:pPr>
        <w:keepLines/>
        <w:spacing w:before="120" w:after="120"/>
        <w:ind w:firstLine="227"/>
        <w:rPr>
          <w:color w:val="000000"/>
          <w:u w:color="000000"/>
        </w:rPr>
      </w:pPr>
      <w:r>
        <w:rPr>
          <w:color w:val="000000"/>
          <w:u w:color="000000"/>
        </w:rPr>
        <w:t xml:space="preserve">Zgodnie z art. 7 ust.1 ustawy z dnia 8 marca 1990 r. o samorządzie gminnym(tj. Dz. U. z 2020 r. poz. 713 ze zm.) w związku z uchwaleniem miejscowego planu zagospodarowania przestrzennego w rejonie ulic: Wolborskiej, </w:t>
      </w:r>
      <w:r>
        <w:rPr>
          <w:color w:val="000000"/>
          <w:u w:color="000000"/>
        </w:rPr>
        <w:t>Życzliwej, Przedniej i rzeki Wierzejki w Piotrkowie Trybunalskim zostaną wprowadzone zasady ochrony środowiska i przyrody oraz gospodarki wodnej dając możliwość wprowadzenia racjonalnej polityki przestrzennej opartej na zasadach zrównoważonego rozwoju i ła</w:t>
      </w:r>
      <w:r>
        <w:rPr>
          <w:color w:val="000000"/>
          <w:u w:color="000000"/>
        </w:rPr>
        <w:t>du przestrzennego.</w:t>
      </w:r>
    </w:p>
    <w:p w:rsidR="00A77B3E" w:rsidRDefault="00482FCA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Zgodnie z opracowaną prognozą skutków finansowych dla projektu miejscowego planu zagospodarowania przestrzennego w rejonie ulic: Wolborskiej, Życzliwej, Przedniej i rzeki Wierzejki w Piotrkowie Trybunalskim, ustalenia projektowanego plan</w:t>
      </w:r>
      <w:r>
        <w:rPr>
          <w:color w:val="000000"/>
          <w:u w:color="000000"/>
        </w:rPr>
        <w:t>u nie generują wydatków związanych z jego uchwaleniem.</w:t>
      </w:r>
    </w:p>
    <w:sectPr w:rsidR="00A77B3E">
      <w:footerReference w:type="default" r:id="rId17"/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482FCA">
      <w:r>
        <w:separator/>
      </w:r>
    </w:p>
  </w:endnote>
  <w:endnote w:type="continuationSeparator" w:id="0">
    <w:p w:rsidR="00000000" w:rsidRDefault="00482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84"/>
      <w:gridCol w:w="3292"/>
    </w:tblGrid>
    <w:tr w:rsidR="003D1AEF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:rsidR="003D1AEF" w:rsidRDefault="00482FCA">
          <w:pPr>
            <w:jc w:val="left"/>
            <w:rPr>
              <w:sz w:val="18"/>
            </w:rPr>
          </w:pPr>
          <w:r>
            <w:rPr>
              <w:sz w:val="18"/>
            </w:rPr>
            <w:t>Id: B1B3BAEE-A573-41D3-AE3A-60F3B10B1278.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:rsidR="003D1AEF" w:rsidRDefault="00482FCA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:rsidR="003D1AEF" w:rsidRDefault="003D1AEF">
    <w:pPr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84"/>
      <w:gridCol w:w="3292"/>
    </w:tblGrid>
    <w:tr w:rsidR="003D1AEF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:rsidR="003D1AEF" w:rsidRDefault="00482FCA">
          <w:pPr>
            <w:jc w:val="left"/>
            <w:rPr>
              <w:sz w:val="18"/>
            </w:rPr>
          </w:pPr>
          <w:r>
            <w:rPr>
              <w:sz w:val="18"/>
            </w:rPr>
            <w:t>Id: B1B3BAEE-A573-41D3-AE3A-60F3B10B1278.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:rsidR="003D1AEF" w:rsidRDefault="00482FCA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5</w:t>
          </w:r>
          <w:r>
            <w:rPr>
              <w:sz w:val="18"/>
            </w:rPr>
            <w:fldChar w:fldCharType="end"/>
          </w:r>
        </w:p>
      </w:tc>
    </w:tr>
  </w:tbl>
  <w:p w:rsidR="003D1AEF" w:rsidRDefault="003D1AEF">
    <w:pPr>
      <w:rPr>
        <w:sz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84"/>
      <w:gridCol w:w="3292"/>
    </w:tblGrid>
    <w:tr w:rsidR="003D1AEF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:rsidR="003D1AEF" w:rsidRDefault="00482FCA">
          <w:pPr>
            <w:jc w:val="left"/>
            <w:rPr>
              <w:sz w:val="18"/>
            </w:rPr>
          </w:pPr>
          <w:r>
            <w:rPr>
              <w:sz w:val="18"/>
            </w:rPr>
            <w:t>Id: B1B3BAEE-</w:t>
          </w:r>
          <w:r>
            <w:rPr>
              <w:sz w:val="18"/>
            </w:rPr>
            <w:t>A573-41D3-AE3A-60F3B10B1278.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:rsidR="003D1AEF" w:rsidRDefault="00482FCA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:rsidR="003D1AEF" w:rsidRDefault="003D1AEF">
    <w:pPr>
      <w:rPr>
        <w:sz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84"/>
      <w:gridCol w:w="3292"/>
    </w:tblGrid>
    <w:tr w:rsidR="003D1AEF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:rsidR="003D1AEF" w:rsidRDefault="00482FCA">
          <w:pPr>
            <w:jc w:val="left"/>
            <w:rPr>
              <w:sz w:val="18"/>
            </w:rPr>
          </w:pPr>
          <w:r>
            <w:rPr>
              <w:sz w:val="18"/>
            </w:rPr>
            <w:t>Id: B1B3BAEE-A573-41D3-AE3A-60F3B10B1278.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:rsidR="003D1AEF" w:rsidRDefault="00482FCA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3D1AEF" w:rsidRDefault="003D1AEF">
    <w:pPr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482FCA">
      <w:r>
        <w:separator/>
      </w:r>
    </w:p>
  </w:footnote>
  <w:footnote w:type="continuationSeparator" w:id="0">
    <w:p w:rsidR="00000000" w:rsidRDefault="00482F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3D1AEF"/>
    <w:rsid w:val="00482FCA"/>
    <w:rsid w:val="00A77B3E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C0FDB91-C30B-4A90-B697-50A5CB37D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297E07BD-4534-4152-9596-EE8572CC5054.jpg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Zalacznik26E77A91-9321-4D30-A07E-E39A251B4E92.jpg" TargetMode="External"/><Relationship Id="rId17" Type="http://schemas.openxmlformats.org/officeDocument/2006/relationships/footer" Target="footer4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Zalacznik85AE94C8-70C7-42E9-8BEB-0B0E91B10594.jpg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Zalacznik4517A81A-8E7F-48F0-9974-A02190FD22F7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2907</Words>
  <Characters>17442</Characters>
  <Application>Microsoft Office Word</Application>
  <DocSecurity>0</DocSecurity>
  <Lines>145</Lines>
  <Paragraphs>40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 Nr XXVIII/397/20 z dnia 29 października 2020 r.</vt:lpstr>
      <vt:lpstr/>
    </vt:vector>
  </TitlesOfParts>
  <Company>Rada Miasta Piotrkowa Trybunalskiego</Company>
  <LinksUpToDate>false</LinksUpToDate>
  <CharactersWithSpaces>20309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XXVIII/397/20 z dnia 29 października 2020 r.</dc:title>
  <dc:subject>w sprawie miejscowego planu zagospodarowania przestrzennego w^rejonie ulic: Wolborskiej, Życzliwej, Przedniej i^rzeki Wierzejki w^Piotrkowie Trybunalskim</dc:subject>
  <dc:creator>Lagwa-Plich_Z</dc:creator>
  <cp:lastModifiedBy>Łągwa-Plich Zdzisława</cp:lastModifiedBy>
  <cp:revision>2</cp:revision>
  <dcterms:created xsi:type="dcterms:W3CDTF">2020-11-16T09:19:00Z</dcterms:created>
  <dcterms:modified xsi:type="dcterms:W3CDTF">2020-11-16T09:19:00Z</dcterms:modified>
  <cp:category>Akt prawny</cp:category>
</cp:coreProperties>
</file>