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66" w:type="dxa"/>
            <w:tcBorders>
              <w:top w:val="nil"/>
              <w:left w:val="nil"/>
              <w:bottom w:val="nil"/>
              <w:right w:val="nil"/>
            </w:tcBorders>
            <w:tcMar>
              <w:top w:w="100" w:type="dxa"/>
            </w:tcMar>
          </w:tcPr>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21 października 2020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tc>
      </w:tr>
    </w:tbl>
    <w:p w:rsidR="00A77B3E"/>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w:t>
      </w:r>
      <w:r>
        <w:rPr>
          <w:rFonts w:ascii="Times New Roman" w:eastAsia="Times New Roman" w:hAnsi="Times New Roman" w:cs="Times New Roman"/>
          <w:b/>
          <w:caps/>
          <w:sz w:val="22"/>
        </w:rPr>
        <w:t>....................</w:t>
      </w:r>
      <w:r>
        <w:rPr>
          <w:rFonts w:ascii="Times New Roman" w:eastAsia="Times New Roman" w:hAnsi="Times New Roman" w:cs="Times New Roman"/>
          <w:b/>
          <w:caps/>
          <w:sz w:val="22"/>
        </w:rPr>
        <w:br/>
      </w:r>
      <w:r>
        <w:rPr>
          <w:rFonts w:ascii="Times New Roman" w:eastAsia="Times New Roman" w:hAnsi="Times New Roman" w:cs="Times New Roman"/>
          <w:b/>
          <w:caps/>
          <w:sz w:val="22"/>
        </w:rPr>
        <w:t>Rady Miasta Piotrkowa Trybunalskiego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zmieniająca uchwałę w sprawie ustalenia cen i opłat za usługi przewozowe lokalnego transportu zbiorowego 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o.o. w Piotrkowie Trybunalskim.</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 18 ust.1, ust. 2 pkt 15 i art. 40 ust. 1, art. 42 ustawy z dnia 8 marca 1990 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(tj. Dz. U. z 2020 r. poz. 713), art. 50a ust. 1, art. 50b ustawy z dnia 16 grudnia 2010 r. o publicznym transporcie zbiorowym ( tj. Dz. U. z 2019 r. poz. 2475; zm. Dz. U. z 2019 r. poz. 2493; Dz. U. z 2020 r. poz. 400, poz. 462, poz. 875), Rada Miasta Piotrkowa Trybunalskiego u c h w a l 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W Uchwale Nr IV/42/19 Rady Miasta Piotrkowa Trybunalskiego z dnia 30 stycznia</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2019 r.  w sprawie ustalenia cen i opłat za usługi przewozowe lokalnego transportu zbiorowego</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o.o. w Piotrkowie Trybunalskim wprowadza się  następujące zmiany:</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caps w:val="0"/>
          <w:strike w:val="0"/>
          <w:color w:val="auto"/>
          <w:sz w:val="22"/>
          <w:u w:val="none"/>
        </w:rPr>
        <w:t>w załączniku nr 2 w § 1 dodaje się zapisy w brzmieniu:</w:t>
      </w:r>
      <w:r>
        <w:rPr>
          <w:rFonts w:ascii="Times New Roman" w:eastAsia="Times New Roman" w:hAnsi="Times New Roman" w:cs="Times New Roman"/>
          <w:b w:val="0"/>
          <w:caps w:val="0"/>
          <w:strike w:val="0"/>
          <w:color w:val="auto"/>
          <w:sz w:val="22"/>
          <w:u w:val="non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96"/>
        <w:gridCol w:w="56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43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rPr>
                <w:b/>
                <w:sz w:val="24"/>
              </w:rPr>
              <w:t>Uprawnieni</w:t>
            </w:r>
          </w:p>
        </w:tc>
        <w:tc>
          <w:tcPr>
            <w:tcW w:w="568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rPr>
                <w:b/>
                <w:sz w:val="24"/>
              </w:rPr>
              <w:t>Dokument potwierdzający uprawnienie</w:t>
            </w:r>
          </w:p>
          <w:p>
            <w:pPr>
              <w:jc w:val="center"/>
            </w:pPr>
            <w:r>
              <w:rPr>
                <w:b/>
                <w:sz w:val="24"/>
              </w:rPr>
              <w:t xml:space="preserve"> do ulgi przewozowej </w:t>
            </w:r>
          </w:p>
        </w:tc>
      </w:tr>
      <w:tr>
        <w:tblPrEx>
          <w:tblW w:w="5000" w:type="pct"/>
          <w:tblLayout w:type="fixed"/>
          <w:tblCellMar>
            <w:left w:w="108" w:type="dxa"/>
            <w:right w:w="108" w:type="dxa"/>
          </w:tblCellMar>
        </w:tblPrEx>
        <w:trPr>
          <w:trHeight w:hRule="auto" w:val="0"/>
        </w:trPr>
        <w:tc>
          <w:tcPr>
            <w:tcW w:w="439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auto"/>
                <w:sz w:val="22"/>
                <w:u w:val="none"/>
                <w:vertAlign w:val="baseline"/>
              </w:rPr>
            </w:pPr>
            <w:r>
              <w:rPr>
                <w:sz w:val="24"/>
              </w:rPr>
              <w:t>„Osoby posiadające danego dnia ważny jednorazowy bilet Łódzkiej Kolei Aglomeracyjnej na przejazd w relacji Łódź Fabryczna – Piotrków Trybunalski, zgodnie z porozumieniem zawartym pomiędzy: Łódzką Koleją Aglomeracyjną Sp. z o.o. a Miastem Piotrków Trybunalski.</w:t>
            </w:r>
          </w:p>
        </w:tc>
        <w:tc>
          <w:tcPr>
            <w:tcW w:w="568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auto"/>
                <w:sz w:val="22"/>
                <w:u w:val="none"/>
                <w:vertAlign w:val="baseline"/>
              </w:rPr>
            </w:pPr>
            <w:r>
              <w:rPr>
                <w:sz w:val="24"/>
              </w:rPr>
              <w:t xml:space="preserve">Bilet jednorazowy, obowiązujący danego dnia w relacji „tam” albo „tam i z powrotem” wydany przez Łódzką Kolej Aglomeracyjną, zgodny z wzorem przekazanym Miastu przez Łódzką Kolej Aglomeracyjną.”  </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vertAlign w:val="baseline"/>
        </w:rPr>
        <w:t>Wykonanie uchwały powierza się Prezydentowi Miasta Piotrkowa Trybunalskiego.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992" w:right="1020" w:bottom="992" w:left="102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vertAlign w:val="baseline"/>
        </w:rPr>
        <w:t>Uchwała podlega ogłoszeniu w Dzienniku Urzędowym Województwa Łódzkiego i wchodzi w życie z dniem 13 grudnia 2020 r.</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i w:val="0"/>
          <w:caps w:val="0"/>
          <w:strike w:val="0"/>
          <w:noProof w:val="0"/>
          <w:vanish w:val="0"/>
          <w:u w:val="none"/>
          <w:shd w:val="clear" w:color="auto" w:fill="FFFFFF"/>
          <w:vertAlign w:val="baseline"/>
        </w:rPr>
      </w:pPr>
    </w:p>
    <w:p>
      <w:pPr>
        <w:pStyle w:val="Normal0"/>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rStyle w:val="DefaultParagraphFont"/>
          <w:b/>
          <w:i w:val="0"/>
          <w:caps/>
          <w:strike w:val="0"/>
          <w:noProof w:val="0"/>
          <w:vanish w:val="0"/>
          <w:u w:val="none"/>
          <w:shd w:val="clear" w:color="auto" w:fill="FFFFFF"/>
          <w:vertAlign w:val="baseline"/>
        </w:rPr>
      </w:pPr>
      <w:r>
        <w:rPr>
          <w:rStyle w:val="DefaultParagraphFont"/>
          <w:b/>
          <w:i w:val="0"/>
          <w:caps/>
          <w:strike w:val="0"/>
          <w:noProof w:val="0"/>
          <w:vanish w:val="0"/>
          <w:u w:val="none"/>
          <w:shd w:val="clear" w:color="auto" w:fill="FFFFFF"/>
          <w:vertAlign w:val="baseline"/>
        </w:rPr>
        <w:t>uzasadnienie</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708"/>
        <w:contextualSpacing w:val="0"/>
        <w:jc w:val="both"/>
        <w:rPr>
          <w:rStyle w:val="DefaultParagraphFont"/>
          <w:i w:val="0"/>
          <w:caps w:val="0"/>
          <w:strike w:val="0"/>
          <w:noProof w:val="0"/>
          <w:vanish w:val="0"/>
          <w:sz w:val="24"/>
          <w:u w:val="none"/>
          <w:shd w:val="clear" w:color="auto" w:fill="FFFFFF"/>
          <w:vertAlign w:val="baseline"/>
        </w:rPr>
      </w:pPr>
      <w:r>
        <w:rPr>
          <w:rStyle w:val="DefaultParagraphFont"/>
          <w:i w:val="0"/>
          <w:caps w:val="0"/>
          <w:strike w:val="0"/>
          <w:noProof w:val="0"/>
          <w:vanish w:val="0"/>
          <w:sz w:val="24"/>
          <w:u w:val="none"/>
          <w:shd w:val="clear" w:color="auto" w:fill="FFFFFF"/>
          <w:vertAlign w:val="baseline"/>
        </w:rPr>
        <w:t xml:space="preserve">Łódzka Kolej Aglomeracyjna Sp. z o.o. od 13 grudnia 2020 r. będzie realizować połączenia kolejowe na odcinku Łódź Fabryczna – Piotrków Trybunalski w ilości 18 połączeń w ciągu dnia. </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both"/>
        <w:rPr>
          <w:rStyle w:val="DefaultParagraphFont"/>
          <w:i w:val="0"/>
          <w:caps w:val="0"/>
          <w:strike w:val="0"/>
          <w:noProof w:val="0"/>
          <w:vanish w:val="0"/>
          <w:sz w:val="24"/>
          <w:u w:val="none"/>
          <w:shd w:val="clear" w:color="auto" w:fill="FFFFFF"/>
          <w:vertAlign w:val="baseline"/>
        </w:rPr>
      </w:pPr>
      <w:r>
        <w:rPr>
          <w:rStyle w:val="DefaultParagraphFont"/>
          <w:i w:val="0"/>
          <w:caps w:val="0"/>
          <w:strike w:val="0"/>
          <w:noProof w:val="0"/>
          <w:vanish w:val="0"/>
          <w:sz w:val="24"/>
          <w:u w:val="none"/>
          <w:shd w:val="clear" w:color="auto" w:fill="FFFFFF"/>
          <w:vertAlign w:val="baseline"/>
        </w:rPr>
        <w:t xml:space="preserve">W związku z tym Spółka wystąpiła do Władz Miasta z propozycją nawiązania współpracy, której celem byłaby promocja wśród mieszkańców województwa łódzkiego komunikacji zbiorowej, w tym w szczególności połączeń autobusowych realizowanych przez Miasto Piotrków Trybunalski w granicach miasta oraz połączeń kolejowych realizowanych przez ŁKA na terenie województwa łódzkiego. Przedstawiony został projekt porozumienia na mocy którego Miasto Piotrków Trybunalski zapewniłoby pasażerom Łódzkiej Kolei Aglomeracyjnej możliwość korzystania z bezpłatnych przejazdów komunikacją miejską po terenie Piotrkowa Trybunalskiego na podstawie ważnego danego dnia biletu jednorazowego, uprawniającego do przejazdu pociągami ŁKA w relacji do Piotrkowa Trybunalskiego „tam” albo „tam i z powrotem”. Ponadto Miasto byłoby zobowiązane do zintegrowania godzin odjazdów i przyjazdów autobusów z rozkładem jazdy pociągów ŁKA. Obok dworca kolejowego przebiegają trasy większości linii autobusowych MZK, co oznacza, że zintegrowanie tych dwóch środków transportu nie powinno stanowić większej trudności. Po stronie ŁKA leżałoby zapewnienie mieszkańcom Piotrkowa Trybunalskiego możliwości korzystania na podstawie Piotrkowskiej Karty Mieszkańca ze specjalnej oferty cenowej </w:t>
        <w:br/>
        <w:t>w  pociągach uruchamianych przez ŁKA oraz promocja połączeń kolejowych do Piotrkowa</w:t>
      </w:r>
      <w:r>
        <w:rPr>
          <w:rStyle w:val="DefaultParagraphFont"/>
          <w:i w:val="0"/>
          <w:caps w:val="0"/>
          <w:strike w:val="0"/>
          <w:noProof w:val="0"/>
          <w:vanish w:val="0"/>
          <w:sz w:val="24"/>
          <w:u w:val="none"/>
          <w:shd w:val="clear" w:color="auto" w:fill="FFFFFF"/>
          <w:vertAlign w:val="baseline"/>
          <w:lang w:val="pl-PL" w:eastAsia="pl-PL" w:bidi="pl-PL"/>
        </w:rPr>
        <w:t xml:space="preserve"> </w:t>
      </w:r>
      <w:r>
        <w:rPr>
          <w:rStyle w:val="DefaultParagraphFont"/>
          <w:i w:val="0"/>
          <w:caps w:val="0"/>
          <w:strike w:val="0"/>
          <w:noProof w:val="0"/>
          <w:vanish w:val="0"/>
          <w:sz w:val="24"/>
          <w:u w:val="none"/>
          <w:shd w:val="clear" w:color="auto" w:fill="FFFFFF"/>
          <w:vertAlign w:val="baseline"/>
        </w:rPr>
        <w:t xml:space="preserve">Trybunalskiego na monitorach LCD w pociągach ŁKA, w mediach społecznościowych i na stronie internetowej </w:t>
      </w:r>
      <w:r>
        <w:rPr>
          <w:rStyle w:val="Hyperlink"/>
          <w:i w:val="0"/>
          <w:caps w:val="0"/>
          <w:strike w:val="0"/>
          <w:noProof w:val="0"/>
          <w:vanish w:val="0"/>
          <w:shd w:val="clear" w:color="auto" w:fill="FFFFFF"/>
          <w:vertAlign w:val="baseline"/>
          <w:lang w:val="pl-PL" w:eastAsia="pl-PL" w:bidi="pl-PL"/>
        </w:rPr>
        <w:fldChar w:fldCharType="begin"/>
      </w:r>
      <w:r>
        <w:rPr>
          <w:rStyle w:val="Hyperlink"/>
          <w:i w:val="0"/>
          <w:caps w:val="0"/>
          <w:strike w:val="0"/>
          <w:noProof w:val="0"/>
          <w:vanish w:val="0"/>
          <w:shd w:val="clear" w:color="auto" w:fill="FFFFFF"/>
          <w:vertAlign w:val="baseline"/>
          <w:lang w:val="pl-PL" w:eastAsia="pl-PL" w:bidi="pl-PL"/>
        </w:rPr>
        <w:instrText xml:space="preserve"> HYPERLINK "http://www.lka.lodzkie.pl" </w:instrText>
      </w:r>
      <w:r>
        <w:rPr>
          <w:rStyle w:val="Hyperlink"/>
          <w:i w:val="0"/>
          <w:caps w:val="0"/>
          <w:strike w:val="0"/>
          <w:noProof w:val="0"/>
          <w:vanish w:val="0"/>
          <w:shd w:val="clear" w:color="auto" w:fill="FFFFFF"/>
          <w:vertAlign w:val="baseline"/>
          <w:lang w:val="pl-PL" w:eastAsia="pl-PL" w:bidi="pl-PL"/>
        </w:rPr>
        <w:fldChar w:fldCharType="separate"/>
      </w:r>
      <w:r>
        <w:rPr>
          <w:rStyle w:val="Hyperlink"/>
          <w:i w:val="0"/>
          <w:caps w:val="0"/>
          <w:strike w:val="0"/>
          <w:noProof w:val="0"/>
          <w:vanish w:val="0"/>
          <w:shd w:val="clear" w:color="auto" w:fill="FFFFFF"/>
          <w:vertAlign w:val="baseline"/>
          <w:lang w:val="pl-PL" w:eastAsia="pl-PL" w:bidi="pl-PL"/>
        </w:rPr>
        <w:t>www.lka.lodzkie.pl</w:t>
      </w:r>
      <w:r>
        <w:rPr>
          <w:rStyle w:val="Hyperlink"/>
          <w:i w:val="0"/>
          <w:caps w:val="0"/>
          <w:strike w:val="0"/>
          <w:noProof w:val="0"/>
          <w:vanish w:val="0"/>
          <w:shd w:val="clear" w:color="auto" w:fill="FFFFFF"/>
          <w:vertAlign w:val="baseline"/>
          <w:lang w:val="pl-PL" w:eastAsia="pl-PL" w:bidi="pl-PL"/>
        </w:rPr>
        <w:fldChar w:fldCharType="end"/>
      </w:r>
      <w:r>
        <w:rPr>
          <w:rStyle w:val="DefaultParagraphFont"/>
          <w:i w:val="0"/>
          <w:caps w:val="0"/>
          <w:strike w:val="0"/>
          <w:noProof w:val="0"/>
          <w:vanish w:val="0"/>
          <w:sz w:val="24"/>
          <w:u w:val="none"/>
          <w:shd w:val="clear" w:color="auto" w:fill="FFFFFF"/>
          <w:vertAlign w:val="baseline"/>
        </w:rPr>
        <w:t xml:space="preserve"> a także w tracie eventów organizowanych przez ŁKA. Na stronie </w:t>
      </w:r>
      <w:r>
        <w:rPr>
          <w:rStyle w:val="Hyperlink"/>
          <w:i w:val="0"/>
          <w:caps w:val="0"/>
          <w:strike w:val="0"/>
          <w:noProof w:val="0"/>
          <w:vanish w:val="0"/>
          <w:shd w:val="clear" w:color="auto" w:fill="FFFFFF"/>
          <w:vertAlign w:val="baseline"/>
          <w:lang w:val="pl-PL" w:eastAsia="pl-PL" w:bidi="pl-PL"/>
        </w:rPr>
        <w:fldChar w:fldCharType="begin"/>
      </w:r>
      <w:r>
        <w:rPr>
          <w:rStyle w:val="Hyperlink"/>
          <w:i w:val="0"/>
          <w:caps w:val="0"/>
          <w:strike w:val="0"/>
          <w:noProof w:val="0"/>
          <w:vanish w:val="0"/>
          <w:shd w:val="clear" w:color="auto" w:fill="FFFFFF"/>
          <w:vertAlign w:val="baseline"/>
          <w:lang w:val="pl-PL" w:eastAsia="pl-PL" w:bidi="pl-PL"/>
        </w:rPr>
        <w:instrText xml:space="preserve"> HYPERLINK "http://www.lka.lodzkie.pl" </w:instrText>
      </w:r>
      <w:r>
        <w:rPr>
          <w:rStyle w:val="Hyperlink"/>
          <w:i w:val="0"/>
          <w:caps w:val="0"/>
          <w:strike w:val="0"/>
          <w:noProof w:val="0"/>
          <w:vanish w:val="0"/>
          <w:shd w:val="clear" w:color="auto" w:fill="FFFFFF"/>
          <w:vertAlign w:val="baseline"/>
          <w:lang w:val="pl-PL" w:eastAsia="pl-PL" w:bidi="pl-PL"/>
        </w:rPr>
        <w:fldChar w:fldCharType="separate"/>
      </w:r>
      <w:r>
        <w:rPr>
          <w:rStyle w:val="Hyperlink"/>
          <w:i w:val="0"/>
          <w:caps w:val="0"/>
          <w:strike w:val="0"/>
          <w:noProof w:val="0"/>
          <w:vanish w:val="0"/>
          <w:shd w:val="clear" w:color="auto" w:fill="FFFFFF"/>
          <w:vertAlign w:val="baseline"/>
          <w:lang w:val="pl-PL" w:eastAsia="pl-PL" w:bidi="pl-PL"/>
        </w:rPr>
        <w:t>www.lka.lodzkie.pl</w:t>
      </w:r>
      <w:r>
        <w:rPr>
          <w:rStyle w:val="Hyperlink"/>
          <w:i w:val="0"/>
          <w:caps w:val="0"/>
          <w:strike w:val="0"/>
          <w:noProof w:val="0"/>
          <w:vanish w:val="0"/>
          <w:shd w:val="clear" w:color="auto" w:fill="FFFFFF"/>
          <w:vertAlign w:val="baseline"/>
          <w:lang w:val="pl-PL" w:eastAsia="pl-PL" w:bidi="pl-PL"/>
        </w:rPr>
        <w:fldChar w:fldCharType="end"/>
      </w:r>
      <w:r>
        <w:rPr>
          <w:rStyle w:val="DefaultParagraphFont"/>
          <w:i w:val="0"/>
          <w:caps w:val="0"/>
          <w:strike w:val="0"/>
          <w:noProof w:val="0"/>
          <w:vanish w:val="0"/>
          <w:sz w:val="24"/>
          <w:u w:val="none"/>
          <w:shd w:val="clear" w:color="auto" w:fill="FFFFFF"/>
          <w:vertAlign w:val="baseline"/>
        </w:rPr>
        <w:t xml:space="preserve"> opublikowana zostałaby ponadto mapa sieci komunikacyjnej piotrkowskiej komunikacji miejskiej, informacja o taborze MZK Piotrków Trybunalski i przykładowe cele podróży wraz z informacją o numerach linii, którymi można dotrzeć do danego miejsca.  </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jc w:val="both"/>
        <w:rPr>
          <w:rStyle w:val="DefaultParagraphFont"/>
          <w:i w:val="0"/>
          <w:caps w:val="0"/>
          <w:strike w:val="0"/>
          <w:noProof w:val="0"/>
          <w:vanish w:val="0"/>
          <w:sz w:val="24"/>
          <w:u w:val="none"/>
          <w:shd w:val="clear" w:color="auto" w:fill="FFFFFF"/>
          <w:vertAlign w:val="baseline"/>
        </w:rPr>
      </w:pPr>
      <w:r>
        <w:rPr>
          <w:rStyle w:val="DefaultParagraphFont"/>
          <w:i w:val="0"/>
          <w:caps w:val="0"/>
          <w:strike w:val="0"/>
          <w:noProof w:val="0"/>
          <w:vanish w:val="0"/>
          <w:sz w:val="24"/>
          <w:u w:val="none"/>
          <w:shd w:val="clear" w:color="auto" w:fill="FFFFFF"/>
          <w:vertAlign w:val="baseline"/>
        </w:rPr>
        <w:t xml:space="preserve">Koszt opisywanej współpracy dla Miasta Piotrkowa Trybunalskiego to zmniejszenie dochodów ze sprzedaży biletów MZK, którego wielkość w chwili obecnej jest trudna do oszacowania. Będzie to możliwe w trakcie przeprowadzanych badań marketingowych piotrkowskiej komunikacji miejskiej. Biorąc pod uwagę, że ulga w przejazdach dotyczy wyłącznie biletów jednorazowych, nie przewiduje się jej znaczącego wpływu na dochody. </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both"/>
        <w:rPr>
          <w:rStyle w:val="DefaultParagraphFont"/>
          <w:i w:val="0"/>
          <w:caps w:val="0"/>
          <w:strike w:val="0"/>
          <w:noProof w:val="0"/>
          <w:vanish w:val="0"/>
          <w:sz w:val="24"/>
          <w:u w:val="none"/>
          <w:shd w:val="clear" w:color="auto" w:fill="FFFFFF"/>
          <w:vertAlign w:val="baseline"/>
          <w:lang w:val="pl-PL" w:eastAsia="pl-PL" w:bidi="pl-PL"/>
        </w:rPr>
      </w:pPr>
      <w:r>
        <w:rPr>
          <w:rStyle w:val="DefaultParagraphFont"/>
          <w:i w:val="0"/>
          <w:caps w:val="0"/>
          <w:strike w:val="0"/>
          <w:noProof w:val="0"/>
          <w:vanish w:val="0"/>
          <w:sz w:val="24"/>
          <w:u w:val="none"/>
          <w:shd w:val="clear" w:color="auto" w:fill="FFFFFF"/>
          <w:vertAlign w:val="baseline"/>
        </w:rPr>
        <w:tab/>
        <w:t xml:space="preserve">Określenie kręgu podmiotów uprawnionych do przejazdów bezpłatnych i ulgowych </w:t>
        <w:br/>
        <w:t xml:space="preserve">w pojazdach lokalnego transportu zbiorowego, poza tymi, których uprawnienia wynikają </w:t>
        <w:br/>
        <w:t xml:space="preserve">z przepisów prawa powszechnie obowiązującego, należy do wyłącznej kompetencji Rady Miasta. </w:t>
      </w:r>
      <w:r>
        <w:rPr>
          <w:rStyle w:val="DefaultParagraphFont"/>
          <w:i w:val="0"/>
          <w:caps w:val="0"/>
          <w:strike w:val="0"/>
          <w:noProof w:val="0"/>
          <w:vanish w:val="0"/>
          <w:sz w:val="24"/>
          <w:u w:val="none"/>
          <w:shd w:val="clear" w:color="auto" w:fill="FFFFFF"/>
          <w:vertAlign w:val="baseline"/>
          <w:lang w:val="pl-PL" w:eastAsia="pl-PL" w:bidi="pl-PL"/>
        </w:rPr>
        <w:t xml:space="preserve"> </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jc w:val="both"/>
        <w:rPr>
          <w:rStyle w:val="DefaultParagraphFont"/>
          <w:i w:val="0"/>
          <w:caps w:val="0"/>
          <w:strike w:val="0"/>
          <w:noProof w:val="0"/>
          <w:vanish w:val="0"/>
          <w:sz w:val="24"/>
          <w:u w:val="none"/>
          <w:shd w:val="clear" w:color="auto" w:fill="FFFFFF"/>
          <w:vertAlign w:val="baseline"/>
        </w:rPr>
      </w:pPr>
      <w:r>
        <w:rPr>
          <w:rStyle w:val="DefaultParagraphFont"/>
          <w:i w:val="0"/>
          <w:caps w:val="0"/>
          <w:strike w:val="0"/>
          <w:noProof w:val="0"/>
          <w:vanish w:val="0"/>
          <w:sz w:val="24"/>
          <w:u w:val="none"/>
          <w:shd w:val="clear" w:color="auto" w:fill="FFFFFF"/>
          <w:vertAlign w:val="baseline"/>
        </w:rPr>
        <w:t>W związku z tym przed podpisaniem porozumienia z ŁKA, konieczne jest dokonanie zmian w obecnie obowiązującej Uchwale Nr IV/42/19 Rady Miasta Piotrkowa Trybunalskiego z dnia 30 stycznia2019 r.  w sprawie ustalenia cen i opłat za usługi przewozowe lokalnego transportu zbiorowego 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o.o. w Piotrkowie Trybunalskim.</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i w:val="0"/>
          <w:caps w:val="0"/>
          <w:strike w:val="0"/>
          <w:noProof w:val="0"/>
          <w:vanish w:val="0"/>
          <w:sz w:val="24"/>
          <w:u w:val="none"/>
          <w:shd w:val="clear" w:color="auto" w:fill="FFFFFF"/>
          <w:vertAlign w:val="baseline"/>
        </w:rPr>
      </w:pPr>
    </w:p>
    <w:p>
      <w:pPr>
        <w:pStyle w:val="Normal0"/>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rStyle w:val="DefaultParagraphFont"/>
          <w:i w:val="0"/>
          <w:caps w:val="0"/>
          <w:strike w:val="0"/>
          <w:noProof w:val="0"/>
          <w:vanish w:val="0"/>
          <w:u w:val="none"/>
          <w:shd w:val="clear" w:color="auto" w:fill="FFFFFF"/>
          <w:vertAlign w:val="baseline"/>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8C7C21E2-71A7-4ED0-8028-EB0198A89660.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8C7C21E2-71A7-4ED0-8028-EB0198A89660. Projekt</w:t>
          </w:r>
        </w:p>
      </w:tc>
      <w:tc>
        <w:tcPr>
          <w:tcW w:w="3202"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rPr>
      <w:rFonts w:ascii="Times New Roman" w:hAnsi="Times New Roman"/>
      <w:b w:val="0"/>
      <w:color w:val="000000"/>
      <w:sz w:val="22"/>
    </w:rPr>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w^sprawie ustalenia cen i^opłat za usługi przewozowe lokalnego transportu zbiorowego w^granicach administracyjnych Piotrkowa Trybunalskiego i^gmin sąsiadujących, które przystąpiły do porozumienia w^celu wspólnej realizacji publicznego transportu zbiorowego oraz cen i^opłat za usługi przewozowe środkami lokalnego transportu zbiorowego, wykonywane przez Miejski Zakład Komunikacyjny Sp. z^o.o. w^Piotrkowie Trybunalskim.</dc:subject>
  <dc:creator>Administrator</dc:creator>
  <cp:lastModifiedBy>Administrator</cp:lastModifiedBy>
  <cp:revision>1</cp:revision>
  <dcterms:created xsi:type="dcterms:W3CDTF">2020-10-21T09:35:26Z</dcterms:created>
  <dcterms:modified xsi:type="dcterms:W3CDTF">2020-10-21T09:35:26Z</dcterms:modified>
  <cp:category>Akt prawny</cp:category>
</cp:coreProperties>
</file>