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E92BC" w14:textId="5A64638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Generalny Inspektor Informacji Finansowej uprzejmie informuje, że w związku z wejściem </w:t>
      </w:r>
      <w:r>
        <w:rPr>
          <w:rFonts w:ascii="TimesNewRomanPSMT" w:hAnsi="TimesNewRomanPSMT" w:cs="TimesNewRomanPSMT"/>
          <w:sz w:val="24"/>
          <w:szCs w:val="24"/>
        </w:rPr>
        <w:br/>
        <w:t xml:space="preserve">w życie w dniu 13 lipca 2018 r. ustawy z dnia 1 marca 2018 r.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 przeciwdziałaniu praniu pieniędzy oraz finasowaniu terroryzmu </w:t>
      </w:r>
      <w:r>
        <w:rPr>
          <w:rFonts w:ascii="TimesNewRomanPSMT" w:hAnsi="TimesNewRomanPSMT" w:cs="TimesNewRomanPSMT"/>
          <w:sz w:val="24"/>
          <w:szCs w:val="24"/>
        </w:rPr>
        <w:t xml:space="preserve">(Dz. U. z 2018 poz. 723,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zm.), zwaną dalej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ustawą</w:t>
      </w:r>
      <w:r>
        <w:rPr>
          <w:rFonts w:ascii="TimesNewRomanPSMT" w:hAnsi="TimesNewRomanPSMT" w:cs="TimesNewRomanPSMT"/>
          <w:sz w:val="24"/>
          <w:szCs w:val="24"/>
        </w:rPr>
        <w:t xml:space="preserve">”, uległy zmianie przepisy dotyczące fundacji. Podstawowa różnica między uchyloną ustawą z dnia 16 listopada 2000 r.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 przeciwdziałaniu praniu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pieniędzy oraz finasowaniu terroryzmu </w:t>
      </w:r>
      <w:r>
        <w:rPr>
          <w:rFonts w:ascii="TimesNewRomanPSMT" w:hAnsi="TimesNewRomanPSMT" w:cs="TimesNewRomanPSMT"/>
          <w:sz w:val="24"/>
          <w:szCs w:val="24"/>
        </w:rPr>
        <w:t xml:space="preserve">(Dz. U. z 2018 poz. z 2017 r. poz. 1049,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zm.), 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ustawą </w:t>
      </w:r>
      <w:r>
        <w:rPr>
          <w:rFonts w:ascii="TimesNewRomanPSMT" w:hAnsi="TimesNewRomanPSMT" w:cs="TimesNewRomanPSMT"/>
          <w:sz w:val="24"/>
          <w:szCs w:val="24"/>
        </w:rPr>
        <w:t>w przedmiotowym zakresie dotyczy sposobu kwalifikowania danej fundacji jako instytucji obowiązanej.</w:t>
      </w:r>
    </w:p>
    <w:p w14:paraId="4A35860C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CE13A41" w14:textId="702D8A1F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Stosownie do treści art. 2 ust. 1 pkt 21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ustawy</w:t>
      </w:r>
      <w:r>
        <w:rPr>
          <w:rFonts w:ascii="TimesNewRomanPSMT" w:hAnsi="TimesNewRomanPSMT" w:cs="TimesNewRomanPSMT"/>
          <w:sz w:val="24"/>
          <w:szCs w:val="24"/>
        </w:rPr>
        <w:t xml:space="preserve">, instytucją obowiązaną jest fundacja ustanowiona na podstawie ustawy z dnia 6 kwietnia 1984 r.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 fundacjach </w:t>
      </w:r>
      <w:r>
        <w:rPr>
          <w:rFonts w:ascii="TimesNewRomanPSMT" w:hAnsi="TimesNewRomanPSMT" w:cs="TimesNewRomanPSMT"/>
          <w:sz w:val="24"/>
          <w:szCs w:val="24"/>
        </w:rPr>
        <w:t xml:space="preserve">(Dz. U. z 2018 r. poz. 1491) </w:t>
      </w: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w zakresie, w jakim przyjmują lub dokonują płatności w gotówce o wartości równej lub przekraczającej równowartość 10 000 euro, bez względu na to, czy płatność jest przeprowadzana jako pojedyncza operacja, czy kilka operacji, które wydają się ze sobą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powiązane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5F4F4B11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523D2CF" w14:textId="383CBCAD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obowiązków fundacji będących instytucjami obowiązanymi w rozumieniu przepisów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ustawy </w:t>
      </w:r>
      <w:r>
        <w:rPr>
          <w:rFonts w:ascii="TimesNewRomanPSMT" w:hAnsi="TimesNewRomanPSMT" w:cs="TimesNewRomanPSMT"/>
          <w:sz w:val="24"/>
          <w:szCs w:val="24"/>
        </w:rPr>
        <w:t>m.in. należy:</w:t>
      </w:r>
    </w:p>
    <w:p w14:paraId="0D1EFF35" w14:textId="77777777" w:rsidR="004C47FF" w:rsidRPr="008501FB" w:rsidRDefault="004C47FF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A5B18ED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wyznaczenie kadry kierowniczej wyższego szczebla odpowiedzialnej za wykonywanie</w:t>
      </w:r>
    </w:p>
    <w:p w14:paraId="43D8321C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obowiązków określonych 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ustawie </w:t>
      </w:r>
      <w:r>
        <w:rPr>
          <w:rFonts w:ascii="TimesNewRomanPSMT" w:hAnsi="TimesNewRomanPSMT" w:cs="TimesNewRomanPSMT"/>
          <w:sz w:val="24"/>
          <w:szCs w:val="24"/>
        </w:rPr>
        <w:t>(art. 6 w zw. z art. 2 ust. 2 pkt 9),</w:t>
      </w:r>
    </w:p>
    <w:p w14:paraId="282B7D34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wyznaczenie spośród członków organu zarządzającego fundacji osoby odpowiedzialnej</w:t>
      </w:r>
    </w:p>
    <w:p w14:paraId="276EF588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wdrożenie obowiązków określonych 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ustawie </w:t>
      </w:r>
      <w:r>
        <w:rPr>
          <w:rFonts w:ascii="TimesNewRomanPSMT" w:hAnsi="TimesNewRomanPSMT" w:cs="TimesNewRomanPSMT"/>
          <w:sz w:val="24"/>
          <w:szCs w:val="24"/>
        </w:rPr>
        <w:t>(art. 7),</w:t>
      </w:r>
    </w:p>
    <w:p w14:paraId="66CE1A60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wyznaczenie pracownika zajmującego kierownicze stanowisko w fundacji</w:t>
      </w:r>
    </w:p>
    <w:p w14:paraId="0BD6C904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odpowiedzialnego za zapewnienie zgodności działalności fundacji oraz jej pracowników</w:t>
      </w:r>
    </w:p>
    <w:p w14:paraId="49EA66C2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 przepisami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ustawy </w:t>
      </w:r>
      <w:r>
        <w:rPr>
          <w:rFonts w:ascii="TimesNewRomanPSMT" w:hAnsi="TimesNewRomanPSMT" w:cs="TimesNewRomanPSMT"/>
          <w:sz w:val="24"/>
          <w:szCs w:val="24"/>
        </w:rPr>
        <w:t>(art. 8),</w:t>
      </w:r>
    </w:p>
    <w:p w14:paraId="4075052E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identyfikacja i ocena ryzyka związanego z praniem pieniędzy i finansowaniem terroryzmu</w:t>
      </w:r>
    </w:p>
    <w:p w14:paraId="64549458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odnoszącego się do działalności fundacji oraz sporządzanie w postaci papierowej</w:t>
      </w:r>
    </w:p>
    <w:p w14:paraId="1BCBDD9F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lub elektronicznej oceny tego ryzyka (art. 27),</w:t>
      </w:r>
    </w:p>
    <w:p w14:paraId="7701D495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stosowanie środków bezpieczeństwa finansowego wobec klientów fundacji (art. 33 – 37,</w:t>
      </w:r>
    </w:p>
    <w:p w14:paraId="1C453E55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art. 39 i art. 41),</w:t>
      </w:r>
    </w:p>
    <w:p w14:paraId="2775136E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stosowanie wzmożonych środków bezpieczeństwa finansowego w przypadkach wyższego</w:t>
      </w:r>
    </w:p>
    <w:p w14:paraId="5177208D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ryzyka prania pieniędzy lub finansowania terroryzmu (art. 43, art. 44 i art. 46),</w:t>
      </w:r>
    </w:p>
    <w:p w14:paraId="6228A6E6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7) dokumentowanie zastosowanych środków bezpieczeństwa finansowego oraz wyników</w:t>
      </w:r>
    </w:p>
    <w:p w14:paraId="4C97B20D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bieżącej analizy przeprowadzanych transakcji (art. 34 ust. 3),</w:t>
      </w:r>
    </w:p>
    <w:p w14:paraId="72967729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8) prowadzenia bieżącej analizy przeprowadzanych transakcji, w stosunku do klientów wobec,</w:t>
      </w:r>
    </w:p>
    <w:p w14:paraId="116642F4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których stosuje się wzmożone środki bezpieczeństwa finansowego (art. 43 ust. 3),</w:t>
      </w:r>
    </w:p>
    <w:p w14:paraId="1B234337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9) podejmowanie działań określonych w art. 43 ust. 4 w przypadku ujawnienia transakcji</w:t>
      </w:r>
    </w:p>
    <w:p w14:paraId="32D64DC7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nietypowej, nienaturalnie złożonej oraz opiewającej na wysokie kwoty, które wydają się nie</w:t>
      </w:r>
    </w:p>
    <w:p w14:paraId="627298FE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mieć uzasadnienia prawnego lub gospodarczego,</w:t>
      </w:r>
    </w:p>
    <w:p w14:paraId="61642FF9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10) przechowywanie dokumentacji uzyskanej w wyniku stosowania środków bezpieczeństwa</w:t>
      </w:r>
    </w:p>
    <w:p w14:paraId="5B914C48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finansowego oraz dowodów m.in. potwierdzających przeprowadzane transakcje (art. 49),</w:t>
      </w:r>
    </w:p>
    <w:p w14:paraId="7028446A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11) wprowadzenie wewnętrznej procedury w zakresie przeciwdziałania praniu pieniędzy</w:t>
      </w:r>
    </w:p>
    <w:p w14:paraId="53D583AD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finasowaniu terroryzmu (art. 50),</w:t>
      </w:r>
    </w:p>
    <w:p w14:paraId="412976B7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12) przekazywanie do Generalnego Inspektora Informacji Finansowej informacji o przyjętej</w:t>
      </w:r>
    </w:p>
    <w:p w14:paraId="6EBC0F69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wpłacie lub dokonanej wypłacie środków pieniężnych o równowartości przekraczającej</w:t>
      </w:r>
    </w:p>
    <w:p w14:paraId="3FA8338B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15 000 euro (art. 72 ust. 1 pkt 1),</w:t>
      </w:r>
    </w:p>
    <w:p w14:paraId="32CE33D6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13) zawiadamiania w trybie i na zasadach określonych 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ustawie </w:t>
      </w:r>
      <w:r>
        <w:rPr>
          <w:rFonts w:ascii="TimesNewRomanPSMT" w:hAnsi="TimesNewRomanPSMT" w:cs="TimesNewRomanPSMT"/>
          <w:sz w:val="24"/>
          <w:szCs w:val="24"/>
        </w:rPr>
        <w:t>Generalnego Inspektora</w:t>
      </w:r>
    </w:p>
    <w:p w14:paraId="2BA77881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Informacji Finansowej o okolicznościach, które mogą wskazywać na podejrzenie</w:t>
      </w:r>
    </w:p>
    <w:p w14:paraId="52C6A595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popełnienia przestępstwa prania pieniędzy lub finansowania terroryzmu (art. 74),</w:t>
      </w:r>
    </w:p>
    <w:p w14:paraId="29CB323A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14) wstrzymywania transakcji w trybie i na zasadach określonych 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ustawie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7352A087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15) stosowania szczególnych środków ograniczających wobec osób i podmiotów określonych</w:t>
      </w:r>
    </w:p>
    <w:p w14:paraId="43E5437E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ustawie </w:t>
      </w:r>
      <w:r>
        <w:rPr>
          <w:rFonts w:ascii="TimesNewRomanPSMT" w:hAnsi="TimesNewRomanPSMT" w:cs="TimesNewRomanPSMT"/>
          <w:sz w:val="24"/>
          <w:szCs w:val="24"/>
        </w:rPr>
        <w:t>(art. 117).</w:t>
      </w:r>
    </w:p>
    <w:p w14:paraId="44EAECB5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B1C54BE" w14:textId="07B320E1" w:rsidR="008501FB" w:rsidRP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Stosownie do art. 130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ustawy</w:t>
      </w:r>
      <w:r>
        <w:rPr>
          <w:rFonts w:ascii="TimesNewRomanPSMT" w:hAnsi="TimesNewRomanPSMT" w:cs="TimesNewRomanPSMT"/>
          <w:sz w:val="24"/>
          <w:szCs w:val="24"/>
        </w:rPr>
        <w:t xml:space="preserve">, fundacje będące instytucjami obowiązanymi w rozumieniu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ustawy, </w:t>
      </w:r>
      <w:r>
        <w:rPr>
          <w:rFonts w:ascii="TimesNewRomanPSMT" w:hAnsi="TimesNewRomanPSMT" w:cs="TimesNewRomanPSMT"/>
          <w:sz w:val="24"/>
          <w:szCs w:val="24"/>
        </w:rPr>
        <w:t>podlegają kontroli wykonywania ww. obowiązków.</w:t>
      </w:r>
    </w:p>
    <w:p w14:paraId="48EBBF56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Kontrolę sprawuje Generalny Inspektor Informacji Finansowej będący równocześnie</w:t>
      </w:r>
    </w:p>
    <w:p w14:paraId="17181691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koordynatorem kontroli oraz:</w:t>
      </w:r>
    </w:p>
    <w:p w14:paraId="122687BA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naczelnicy urzędów celno-skarbowych,</w:t>
      </w:r>
    </w:p>
    <w:p w14:paraId="6B31B63F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ministrowie,</w:t>
      </w:r>
    </w:p>
    <w:p w14:paraId="6D297A42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w ramach sprawowanego przez nich nadzoru lub kontroli nad fundacją.</w:t>
      </w:r>
    </w:p>
    <w:p w14:paraId="07E19CA0" w14:textId="77777777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7914E27" w14:textId="2C19260A" w:rsid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Kontrola, o której mowa w art. 130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ustawy</w:t>
      </w:r>
      <w:r>
        <w:rPr>
          <w:rFonts w:ascii="TimesNewRomanPSMT" w:hAnsi="TimesNewRomanPSMT" w:cs="TimesNewRomanPSMT"/>
          <w:sz w:val="24"/>
          <w:szCs w:val="24"/>
        </w:rPr>
        <w:t xml:space="preserve">, może być przeprowadzona w zakresie i na zasadach określonych w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ustawie </w:t>
      </w:r>
      <w:r>
        <w:rPr>
          <w:rFonts w:ascii="TimesNewRomanPSMT" w:hAnsi="TimesNewRomanPSMT" w:cs="TimesNewRomanPSMT"/>
          <w:sz w:val="24"/>
          <w:szCs w:val="24"/>
        </w:rPr>
        <w:t xml:space="preserve">przez ww. organy na podstawie rocznego planu kontroli bądź doraźnie. Przedmiotowa kontrola może być realizowana przez co najmniej dwóch imiennie upoważnionych przez ww. organ pracowników/kontrolerów (art. 131 i art. 132). Szczegółowy zakres upoważnienia do kontroli określa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ustawa </w:t>
      </w:r>
      <w:r>
        <w:rPr>
          <w:rFonts w:ascii="TimesNewRomanPSMT" w:hAnsi="TimesNewRomanPSMT" w:cs="TimesNewRomanPSMT"/>
          <w:sz w:val="24"/>
          <w:szCs w:val="24"/>
        </w:rPr>
        <w:t>w art. 133 ust. 2. Z przeprowadzonej kontroli sporządzany jest protokół pokontrolny (art. 141) oraz wystąpienie pokontrolne zawierające m.in. zalecenia pokontrolne (art. 142).</w:t>
      </w:r>
    </w:p>
    <w:p w14:paraId="30C3B2B9" w14:textId="79315D3B" w:rsidR="00787E37" w:rsidRPr="008501FB" w:rsidRDefault="008501FB" w:rsidP="008501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Ponadto należy zauważyć, że znaczącej zmianie uległy przepisy dotyczące kar</w:t>
      </w:r>
      <w:r>
        <w:rPr>
          <w:rFonts w:ascii="TimesNewRomanPSMT" w:hAnsi="TimesNewRomanPSMT" w:cs="TimesNewRomanPSMT"/>
          <w:sz w:val="24"/>
          <w:szCs w:val="24"/>
        </w:rPr>
        <w:br/>
        <w:t>administracyjnych, w tym rodzaj naruszeń podlegających sankcji administracyjnej (art. 147</w:t>
      </w:r>
      <w:r>
        <w:rPr>
          <w:rFonts w:ascii="TimesNewRomanPSMT" w:hAnsi="TimesNewRomanPSMT" w:cs="TimesNewRomanPSMT"/>
          <w:sz w:val="24"/>
          <w:szCs w:val="24"/>
        </w:rPr>
        <w:br/>
        <w:t>i art. 149), jak również rodzaje kar administracyjnych i wysokość kar pieniężnych (art. 150).</w:t>
      </w: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ab/>
        <w:t xml:space="preserve">Kary administracyjne na fundacje będące instytucjami obowiązanymi w rozumieniu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ustawy</w:t>
      </w:r>
      <w:r w:rsidR="004C47FF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 drodze decyzji administracyjnej nakłada Generalny Inspektor Informacji Finansowej.</w:t>
      </w:r>
    </w:p>
    <w:sectPr w:rsidR="00787E37" w:rsidRPr="0085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F7"/>
    <w:rsid w:val="001D2C90"/>
    <w:rsid w:val="004C47FF"/>
    <w:rsid w:val="00787E37"/>
    <w:rsid w:val="008501FB"/>
    <w:rsid w:val="00A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F9DE"/>
  <w15:chartTrackingRefBased/>
  <w15:docId w15:val="{D4E7AFBE-63F5-4A3F-B843-1D0369A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Aleksandra</dc:creator>
  <cp:keywords/>
  <dc:description/>
  <cp:lastModifiedBy>Jarzębska Monika</cp:lastModifiedBy>
  <cp:revision>2</cp:revision>
  <dcterms:created xsi:type="dcterms:W3CDTF">2018-09-20T12:19:00Z</dcterms:created>
  <dcterms:modified xsi:type="dcterms:W3CDTF">2018-09-20T12:19:00Z</dcterms:modified>
</cp:coreProperties>
</file>