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972" w:rsidRDefault="006C6972" w:rsidP="000A1152">
      <w:pPr>
        <w:shd w:val="clear" w:color="auto" w:fill="FFFFFF"/>
        <w:spacing w:before="3648"/>
        <w:jc w:val="right"/>
      </w:pPr>
      <w:r>
        <w:rPr>
          <w:color w:val="000000"/>
          <w:spacing w:val="-3"/>
          <w:sz w:val="28"/>
          <w:szCs w:val="28"/>
        </w:rPr>
        <w:t>SZCZEGÓŁOWA SPECYFIKACJA TECHNICZNA</w:t>
      </w:r>
    </w:p>
    <w:p w:rsidR="006C6972" w:rsidRDefault="006C6972" w:rsidP="000A1152">
      <w:pPr>
        <w:shd w:val="clear" w:color="auto" w:fill="FFFFFF"/>
        <w:spacing w:before="298" w:line="322" w:lineRule="exact"/>
        <w:ind w:left="1483"/>
        <w:jc w:val="center"/>
        <w:rPr>
          <w:b/>
          <w:bCs/>
          <w:color w:val="000000"/>
          <w:sz w:val="28"/>
          <w:szCs w:val="28"/>
        </w:rPr>
      </w:pPr>
    </w:p>
    <w:p w:rsidR="006C6972" w:rsidRDefault="006C6972" w:rsidP="000A1152">
      <w:pPr>
        <w:shd w:val="clear" w:color="auto" w:fill="FFFFFF"/>
        <w:spacing w:before="298" w:line="322" w:lineRule="exact"/>
        <w:ind w:left="1483"/>
        <w:jc w:val="center"/>
        <w:rPr>
          <w:b/>
          <w:bCs/>
          <w:color w:val="000000"/>
          <w:sz w:val="28"/>
          <w:szCs w:val="28"/>
        </w:rPr>
      </w:pPr>
    </w:p>
    <w:p w:rsidR="006C6972" w:rsidRDefault="006C6972" w:rsidP="000A1152">
      <w:pPr>
        <w:shd w:val="clear" w:color="auto" w:fill="FFFFFF"/>
        <w:spacing w:before="298" w:line="322" w:lineRule="exact"/>
        <w:ind w:left="148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D-07.01.01</w:t>
      </w:r>
    </w:p>
    <w:p w:rsidR="006C6972" w:rsidRDefault="006C6972" w:rsidP="000A1152">
      <w:pPr>
        <w:shd w:val="clear" w:color="auto" w:fill="FFFFFF"/>
        <w:spacing w:before="298" w:line="322" w:lineRule="exact"/>
        <w:ind w:left="1483"/>
        <w:jc w:val="center"/>
        <w:rPr>
          <w:b/>
          <w:bCs/>
          <w:color w:val="000000"/>
          <w:sz w:val="28"/>
          <w:szCs w:val="28"/>
        </w:rPr>
      </w:pPr>
    </w:p>
    <w:p w:rsidR="006C6972" w:rsidRDefault="006C6972" w:rsidP="000A1152">
      <w:pPr>
        <w:shd w:val="clear" w:color="auto" w:fill="FFFFFF"/>
        <w:spacing w:before="298" w:line="322" w:lineRule="exact"/>
        <w:ind w:left="1483"/>
        <w:jc w:val="center"/>
        <w:rPr>
          <w:b/>
          <w:bCs/>
          <w:color w:val="000000"/>
          <w:sz w:val="28"/>
          <w:szCs w:val="28"/>
        </w:rPr>
      </w:pPr>
    </w:p>
    <w:p w:rsidR="006C6972" w:rsidRDefault="006C6972" w:rsidP="000A1152">
      <w:pPr>
        <w:shd w:val="clear" w:color="auto" w:fill="FFFFFF"/>
        <w:spacing w:line="322" w:lineRule="exact"/>
        <w:ind w:left="1483"/>
        <w:jc w:val="center"/>
      </w:pPr>
      <w:r>
        <w:rPr>
          <w:b/>
          <w:bCs/>
          <w:color w:val="000000"/>
          <w:sz w:val="28"/>
          <w:szCs w:val="28"/>
        </w:rPr>
        <w:t>OZNAKOWANIE POZIOME</w:t>
      </w:r>
    </w:p>
    <w:p w:rsidR="006C6972" w:rsidRDefault="006C6972" w:rsidP="000A1152">
      <w:pPr>
        <w:sectPr w:rsidR="006C6972" w:rsidSect="008613F7">
          <w:footerReference w:type="even" r:id="rId7"/>
          <w:footerReference w:type="default" r:id="rId8"/>
          <w:pgSz w:w="11899" w:h="16838"/>
          <w:pgMar w:top="1075" w:right="2640" w:bottom="3038" w:left="1728" w:header="708" w:footer="708" w:gutter="0"/>
          <w:pgNumType w:start="1"/>
          <w:cols w:space="708"/>
        </w:sectPr>
      </w:pPr>
    </w:p>
    <w:p w:rsidR="006C6972" w:rsidRDefault="006C6972" w:rsidP="000A1152">
      <w:pPr>
        <w:pStyle w:val="PlainTex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WSTĘP</w:t>
      </w:r>
    </w:p>
    <w:p w:rsidR="006C6972" w:rsidRDefault="006C6972" w:rsidP="000A1152">
      <w:pPr>
        <w:pStyle w:val="PlainText"/>
        <w:jc w:val="both"/>
        <w:rPr>
          <w:rFonts w:ascii="Times New Roman" w:hAnsi="Times New Roman"/>
          <w:b/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1.1. Przedmiot SST</w:t>
      </w:r>
    </w:p>
    <w:p w:rsidR="006C6972" w:rsidRPr="00672EA2" w:rsidRDefault="006C6972" w:rsidP="00E666F9">
      <w:pPr>
        <w:ind w:firstLine="708"/>
        <w:rPr>
          <w:rFonts w:ascii="Arial" w:hAnsi="Arial"/>
        </w:rPr>
      </w:pPr>
      <w:r>
        <w:tab/>
        <w:t xml:space="preserve">Przedmiotem niniejszej szczegółowej specyfikacji technicznej (SST) są wymagania dotyczące wykonania i odbioru robót związanych z wykonaniem oznakowania poziomego związanego </w:t>
      </w:r>
      <w:r w:rsidRPr="00E666F9">
        <w:t xml:space="preserve">z przebudową ul.Sienkiewicza na odcinku od ul.Słowackiego do </w:t>
      </w:r>
      <w:r>
        <w:t xml:space="preserve">ul.Wojska Polskiego </w:t>
      </w:r>
      <w:r w:rsidRPr="00E666F9">
        <w:t>w Piotrkowie Trybunalskim</w:t>
      </w:r>
      <w:r>
        <w:t>.</w:t>
      </w:r>
      <w:r w:rsidRPr="00E666F9">
        <w:t xml:space="preserve"> </w:t>
      </w:r>
    </w:p>
    <w:p w:rsidR="006C6972" w:rsidRPr="00AE53CD" w:rsidRDefault="006C6972" w:rsidP="00AE53CD">
      <w:pPr>
        <w:pStyle w:val="Standardowytekst"/>
        <w:jc w:val="left"/>
        <w:rPr>
          <w:sz w:val="24"/>
          <w:szCs w:val="24"/>
        </w:rPr>
      </w:pPr>
    </w:p>
    <w:p w:rsidR="006C6972" w:rsidRDefault="006C6972" w:rsidP="000A1152">
      <w:pPr>
        <w:pStyle w:val="Standardowytekst"/>
        <w:rPr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1.2. Zakres stosowania SST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ab/>
        <w:t>Szczegółowa specyfikacja techniczna (SST) stosowana jest jako dokument przetargowy i kontraktowy przy zlecaniu i realizacji robót związanych z wykonaniem oznakowania poziomego.</w:t>
      </w:r>
      <w:r>
        <w:rPr>
          <w:sz w:val="24"/>
          <w:szCs w:val="24"/>
        </w:rPr>
        <w:tab/>
      </w:r>
    </w:p>
    <w:p w:rsidR="006C6972" w:rsidRDefault="006C6972" w:rsidP="000A1152">
      <w:pPr>
        <w:pStyle w:val="Standardowytekst"/>
        <w:rPr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2. MATERIAŁY</w:t>
      </w:r>
    </w:p>
    <w:p w:rsidR="006C6972" w:rsidRDefault="006C6972" w:rsidP="000A1152">
      <w:pPr>
        <w:pStyle w:val="Standardowytekst"/>
        <w:rPr>
          <w:b/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2.1. Wymagania dotyczące materiałów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           Wszystkie wykonane znaki poziome powinny odpowiadać wymogom Rozporządzenia </w:t>
      </w:r>
      <w:r>
        <w:rPr>
          <w:sz w:val="24"/>
          <w:szCs w:val="24"/>
        </w:rPr>
        <w:br/>
        <w:t xml:space="preserve">Ministra Infrastruktury z dnia </w:t>
      </w:r>
      <w:smartTag w:uri="urn:schemas-microsoft-com:office:smarttags" w:element="date">
        <w:smartTagPr>
          <w:attr w:name="ls" w:val="trans"/>
          <w:attr w:name="Month" w:val="7"/>
          <w:attr w:name="Day" w:val="3"/>
          <w:attr w:name="Year" w:val="2003"/>
        </w:smartTagPr>
        <w:r>
          <w:rPr>
            <w:sz w:val="24"/>
            <w:szCs w:val="24"/>
          </w:rPr>
          <w:t>3 lipca 2003r.</w:t>
        </w:r>
      </w:smartTag>
      <w:r>
        <w:rPr>
          <w:sz w:val="24"/>
          <w:szCs w:val="24"/>
        </w:rPr>
        <w:t xml:space="preserve">w sprawie szczegółowych warunków technicznych dla znaków i sygnałów drogowych oraz urządzeń bezpieczeństwa ruchu drogowego i warunków ich umieszczania na drogach (Dz. U. Nr 220, poz. 2181 z 2003r. ze zm.). Oznakowanie należy wykonać z masy chemoutwardzalnej „na gładko”. </w:t>
      </w:r>
    </w:p>
    <w:p w:rsidR="006C6972" w:rsidRDefault="006C6972" w:rsidP="000A1152">
      <w:pPr>
        <w:pStyle w:val="Standardowytekst"/>
        <w:rPr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3. SPRZĘT</w:t>
      </w:r>
    </w:p>
    <w:p w:rsidR="006C6972" w:rsidRDefault="006C6972" w:rsidP="000A1152">
      <w:pPr>
        <w:pStyle w:val="Standardowytekst"/>
        <w:rPr>
          <w:b/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3.1. Wymagania dotyczące sprzętu</w:t>
      </w:r>
    </w:p>
    <w:p w:rsidR="006C6972" w:rsidRDefault="006C6972" w:rsidP="000A1152">
      <w:pPr>
        <w:pStyle w:val="Standardowytekst"/>
        <w:rPr>
          <w:b/>
          <w:sz w:val="24"/>
          <w:szCs w:val="24"/>
        </w:rPr>
      </w:pPr>
    </w:p>
    <w:p w:rsidR="006C6972" w:rsidRDefault="006C6972" w:rsidP="000A1152">
      <w:pPr>
        <w:pStyle w:val="PlainTex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Wykaz sprzętu niezbędnego do wykonania zamówienia::</w:t>
      </w:r>
    </w:p>
    <w:p w:rsidR="006C6972" w:rsidRDefault="006C6972" w:rsidP="000A1152">
      <w:pPr>
        <w:pStyle w:val="PlainText"/>
        <w:numPr>
          <w:ilvl w:val="1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środek transportu materiałów - 1 szt.</w:t>
      </w:r>
    </w:p>
    <w:p w:rsidR="006C6972" w:rsidRDefault="006C6972" w:rsidP="000A1152">
      <w:pPr>
        <w:pStyle w:val="PlainText"/>
        <w:numPr>
          <w:ilvl w:val="1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szczotki mechaniczne lub zamiatarka – 1 szt.</w:t>
      </w:r>
    </w:p>
    <w:p w:rsidR="006C6972" w:rsidRDefault="006C6972" w:rsidP="000A1152">
      <w:pPr>
        <w:pStyle w:val="PlainText"/>
        <w:numPr>
          <w:ilvl w:val="1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frezarka – 1 szt.</w:t>
      </w:r>
    </w:p>
    <w:p w:rsidR="006C6972" w:rsidRDefault="006C6972" w:rsidP="000A1152">
      <w:pPr>
        <w:pStyle w:val="PlainText"/>
        <w:numPr>
          <w:ilvl w:val="1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malowarka samojezdna – 1 szt.</w:t>
      </w:r>
    </w:p>
    <w:p w:rsidR="006C6972" w:rsidRDefault="006C6972" w:rsidP="000A1152">
      <w:pPr>
        <w:pStyle w:val="PlainText"/>
        <w:numPr>
          <w:ilvl w:val="1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układarka mas chemoutwardzalnych – 1 szt.</w:t>
      </w:r>
    </w:p>
    <w:p w:rsidR="006C6972" w:rsidRDefault="006C6972" w:rsidP="000A1152">
      <w:pPr>
        <w:pStyle w:val="Standardowytekst"/>
        <w:rPr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4. TRANSPORT</w:t>
      </w:r>
    </w:p>
    <w:p w:rsidR="006C6972" w:rsidRDefault="006C6972" w:rsidP="000A1152">
      <w:pPr>
        <w:pStyle w:val="Standardowytekst"/>
        <w:rPr>
          <w:b/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4.1. Wymagania dotyczące transportu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ab/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Materiały mogą być przewożone dowolnymi środkami transportu. </w:t>
      </w:r>
    </w:p>
    <w:p w:rsidR="006C6972" w:rsidRDefault="006C6972" w:rsidP="000A1152">
      <w:pPr>
        <w:pStyle w:val="Standardowytekst"/>
        <w:rPr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5. WYKONANIE ROBÓT</w:t>
      </w:r>
    </w:p>
    <w:p w:rsidR="006C6972" w:rsidRDefault="006C6972" w:rsidP="000A1152">
      <w:pPr>
        <w:pStyle w:val="Standardowytekst"/>
        <w:rPr>
          <w:b/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5.1. Zasady wykonania robót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ab/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Szczegółowy zakres prac do wykonania ustalany będzie na bieżąco w oparciu o wynikające potrzeby. </w:t>
      </w:r>
    </w:p>
    <w:p w:rsidR="006C6972" w:rsidRDefault="006C6972" w:rsidP="000A1152">
      <w:pPr>
        <w:pStyle w:val="Standardowytekst"/>
        <w:rPr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5.2. Warunki atmosferyczne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ab/>
        <w:t>W czasie wykonywania oznakowania temperatura nawierzchni i powietrza powinna wynosić co najmniej 5</w:t>
      </w:r>
      <w:r>
        <w:rPr>
          <w:sz w:val="24"/>
          <w:szCs w:val="24"/>
          <w:vertAlign w:val="superscript"/>
        </w:rPr>
        <w:t>o</w:t>
      </w:r>
      <w:r>
        <w:rPr>
          <w:sz w:val="24"/>
          <w:szCs w:val="24"/>
        </w:rPr>
        <w:t>C, a wilgotność względna podłoża powinna być zgodna z zaleceniami producenta.</w:t>
      </w:r>
    </w:p>
    <w:p w:rsidR="006C6972" w:rsidRDefault="006C6972" w:rsidP="000A1152">
      <w:pPr>
        <w:pStyle w:val="Standardowytekst"/>
        <w:rPr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5.3. Przygotowanie podłoża do wykonania znakowania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ab/>
        <w:t>Przed wykonaniem znakowania poziomego należy oczyścić ręcznie lub mechanicznie powierzchnie nawierzchni w obrębie pasa przewidzianego do malowania z pyłu, kurzu, piasku, smarów, olejów i innych zanieczyszczeń.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ab/>
        <w:t>Powierzchnia nawierzchni przygotowana do remontu (odnowienia) oznakowania poziomego powinna być czysta i sucha.</w:t>
      </w:r>
    </w:p>
    <w:p w:rsidR="006C6972" w:rsidRDefault="006C6972" w:rsidP="000A1152">
      <w:pPr>
        <w:pStyle w:val="Standardowytekst"/>
        <w:rPr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5.4. Przedznakowanie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ab/>
        <w:t>W celu dokładnego wykonania poziomego oznakowania drogi należy dokonać przedznakowania w miejscach, gdzie elementy oznakowania dotychczasowego są niewidoczne lub w miejscach zmian dotychczasowego oznakowania.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ab/>
        <w:t>Do wykonania przedznakowania można stosować nietrwałą farbę.</w:t>
      </w:r>
    </w:p>
    <w:p w:rsidR="006C6972" w:rsidRDefault="006C6972" w:rsidP="000A1152">
      <w:pPr>
        <w:pStyle w:val="Standardowytekst"/>
        <w:rPr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5.5. Wykonanie remontu znakowania drogi</w:t>
      </w:r>
    </w:p>
    <w:p w:rsidR="006C6972" w:rsidRDefault="006C6972" w:rsidP="000A1152">
      <w:pPr>
        <w:pStyle w:val="Standardowytekst"/>
        <w:rPr>
          <w:b/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5.5.1.  Czynności przy znakowaniu drogi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ab/>
        <w:t>Znakowanie drogi obejmuje:</w:t>
      </w:r>
    </w:p>
    <w:p w:rsidR="006C6972" w:rsidRDefault="006C6972" w:rsidP="000A1152">
      <w:pPr>
        <w:pStyle w:val="Standardowytek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zabezpieczenie miejsca robót przez ustawienie pachołków gumowych, zapór itp., dowożonych samochodem dostawczym lub ciągnikiem z przyczepą,</w:t>
      </w:r>
    </w:p>
    <w:p w:rsidR="006C6972" w:rsidRDefault="006C6972" w:rsidP="000A1152">
      <w:pPr>
        <w:pStyle w:val="Standardowytek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przygotowanie mas chemoutwardzalnych,,</w:t>
      </w:r>
    </w:p>
    <w:p w:rsidR="006C6972" w:rsidRDefault="006C6972" w:rsidP="000A1152">
      <w:pPr>
        <w:pStyle w:val="Standardowytek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ręczne lub mechaniczne odnowienie zniszczonych znaków na jezdni,</w:t>
      </w:r>
    </w:p>
    <w:p w:rsidR="006C6972" w:rsidRDefault="006C6972" w:rsidP="000A1152">
      <w:pPr>
        <w:pStyle w:val="Standardowytek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ochronę świeżo malowanych miejsc przed uszkodzeniem,</w:t>
      </w:r>
    </w:p>
    <w:p w:rsidR="006C6972" w:rsidRDefault="006C6972" w:rsidP="000A1152">
      <w:pPr>
        <w:pStyle w:val="Standardowytek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przenoszenie zapór przenośnych i znaków zabezpieczających (pachołków gumowych) w miarę postępu robót.</w:t>
      </w:r>
    </w:p>
    <w:p w:rsidR="006C6972" w:rsidRDefault="006C6972" w:rsidP="000A1152">
      <w:pPr>
        <w:pStyle w:val="Standardowytekst"/>
        <w:ind w:left="360"/>
        <w:rPr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5.5.2. Wykonanie  znakowania  drogi   materiałami  grubowarstwowymi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ab/>
        <w:t>Po spełnieniu warunków zawartych w punktach 5.1 - 5.4 można przystąpić do wykonania znakowania drogi materiałami, odpowiadającymi wymaganiom pktu 2,. Decyzję dotyczącą sposobu wykonania znakowania podejmuje Inżynier na wniosek Wykonawcy.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ab/>
        <w:t>W przypadku pozostawienia bez konieczności remontu (odnowienia) części oznakowania poziomego, elementy odnowione należy wykonać przy użyciu materiałów o podobnych parametrach technicznych.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ab/>
        <w:t xml:space="preserve">W przypadku odnowienia częściowo widocznych elementów oznakowania wykonanego materiałami grubowarstwowymi, przed powtórnym wykonaniem elementu należy sprawdzić, czy grubość nie przekracza </w:t>
      </w:r>
      <w:smartTag w:uri="urn:schemas-microsoft-com:office:smarttags" w:element="metricconverter">
        <w:smartTagPr>
          <w:attr w:name="ProductID" w:val="5 mm"/>
        </w:smartTagPr>
        <w:r>
          <w:rPr>
            <w:sz w:val="24"/>
            <w:szCs w:val="24"/>
          </w:rPr>
          <w:t>5 mm</w:t>
        </w:r>
      </w:smartTag>
      <w:r>
        <w:rPr>
          <w:sz w:val="24"/>
          <w:szCs w:val="24"/>
        </w:rPr>
        <w:t>. O ile ten warunek nie będzie spełniony istniejące oznakowanie należy usunąć przez frezowanie lub inną metodą uzgodnioną z Inwestorem.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ab/>
        <w:t>Zasady wykonania oznakowania powinny odpowiadać wymaganiom podanym w SST.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6. ZLECANIE USŁUG</w:t>
      </w:r>
    </w:p>
    <w:p w:rsidR="006C6972" w:rsidRDefault="006C6972" w:rsidP="000A1152">
      <w:pPr>
        <w:jc w:val="both"/>
        <w:rPr>
          <w:b/>
        </w:rPr>
      </w:pPr>
    </w:p>
    <w:p w:rsidR="006C6972" w:rsidRDefault="006C6972" w:rsidP="000A1152">
      <w:pPr>
        <w:jc w:val="both"/>
      </w:pPr>
      <w:r>
        <w:rPr>
          <w:b/>
        </w:rPr>
        <w:t xml:space="preserve">           </w:t>
      </w:r>
      <w:r>
        <w:t>Usługę, Wykonawca będzie wykonywał po zakończeniu robót bitumicznych</w:t>
      </w:r>
    </w:p>
    <w:p w:rsidR="006C6972" w:rsidRDefault="006C6972" w:rsidP="000A1152">
      <w:pPr>
        <w:ind w:left="360" w:firstLine="360"/>
        <w:jc w:val="both"/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7. GWARANCJE</w:t>
      </w:r>
    </w:p>
    <w:p w:rsidR="006C6972" w:rsidRDefault="006C6972" w:rsidP="000A1152">
      <w:pPr>
        <w:pStyle w:val="Standardowytekst"/>
        <w:rPr>
          <w:b/>
          <w:sz w:val="24"/>
          <w:szCs w:val="24"/>
        </w:rPr>
      </w:pPr>
    </w:p>
    <w:p w:rsidR="006C6972" w:rsidRDefault="006C6972" w:rsidP="000A1152">
      <w:pPr>
        <w:jc w:val="both"/>
      </w:pPr>
      <w:r>
        <w:t xml:space="preserve">Okres gwarancji zaczyna się w dzień po odbiorze wykonanych prac, stwierdzonym protokółem, o którym mowa w </w:t>
      </w:r>
      <w:r>
        <w:rPr>
          <w:b/>
        </w:rPr>
        <w:t>§</w:t>
      </w:r>
      <w:r>
        <w:t xml:space="preserve"> 7 ust. 2 umowy i wynosi 60 miesięcy.. </w:t>
      </w:r>
    </w:p>
    <w:p w:rsidR="006C6972" w:rsidRDefault="006C6972" w:rsidP="000A1152">
      <w:pPr>
        <w:jc w:val="both"/>
      </w:pPr>
      <w:r>
        <w:t>W ramach udzielonej gwarancji Wykonawca zapewnia dobrą jakość użytych materiałów i urządzeń oraz świadczonej usługi. W przypadku stwierdzenia w okresie gwarancji wad przedmiotu umowy Wykonawca zobowiązuje się dokonać naprawy na własny koszt w terminie określonym przez Zamawiającego. Jeżeli wady dotyczą materiałów i urządzeń zastosowanych przez Wykonawcę, zobowiązuje się on do wymiany wadliwych materiałów i urządzeń na wolne od wad w terminie określonym przez Zamawiającego.</w:t>
      </w:r>
    </w:p>
    <w:p w:rsidR="006C6972" w:rsidRDefault="006C6972" w:rsidP="000A1152">
      <w:pPr>
        <w:jc w:val="both"/>
      </w:pPr>
      <w:r>
        <w:t>W okresie gwarancji Zamawiający ma prawo realizować uprawnienia z tytułu rękojmi niezależnie od uprawnień wynikających z gwarancji..</w:t>
      </w:r>
    </w:p>
    <w:p w:rsidR="006C6972" w:rsidRDefault="006C6972" w:rsidP="000A1152">
      <w:pPr>
        <w:jc w:val="both"/>
      </w:pPr>
      <w:r>
        <w:t xml:space="preserve">W przypadku opóźnienia Wykonawcy w realizacji obowiązków wynikających z gwarancji lub rękojmi, Zamawiający ma prawo, bez wyznaczania dodatkowego terminu na usunięcie wad, zlecić ich usunięcie osobie trzeciej na koszt i niebezpieczeństwo Wykonawcy, bez potrzeby uzyskiwania zgody sądu na wykonanie zastępcze usunięcia wad. </w:t>
      </w:r>
    </w:p>
    <w:p w:rsidR="006C6972" w:rsidRDefault="006C6972" w:rsidP="000A1152">
      <w:pPr>
        <w:pStyle w:val="Standardowytekst"/>
        <w:rPr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8. OBMIAR ROBÓT</w:t>
      </w:r>
    </w:p>
    <w:p w:rsidR="006C6972" w:rsidRDefault="006C6972" w:rsidP="000A1152">
      <w:pPr>
        <w:pStyle w:val="Standardowytekst"/>
        <w:rPr>
          <w:b/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8.1. Zasady odbioru robót</w:t>
      </w:r>
    </w:p>
    <w:p w:rsidR="006C6972" w:rsidRDefault="006C6972" w:rsidP="000A1152">
      <w:pPr>
        <w:pStyle w:val="Standardowytekst"/>
        <w:rPr>
          <w:b/>
          <w:sz w:val="24"/>
          <w:szCs w:val="24"/>
        </w:rPr>
      </w:pP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            Szczegółowy obmiar usług prowadzi Wykonawca. Jednostki obmiarowe poszczególnych usług podane są w kosztorysie oferty.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ab/>
      </w: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9. ODBIÓR ROBÓT</w:t>
      </w:r>
    </w:p>
    <w:p w:rsidR="006C6972" w:rsidRDefault="006C6972" w:rsidP="000A1152">
      <w:pPr>
        <w:pStyle w:val="Standardowytekst"/>
        <w:rPr>
          <w:b/>
          <w:sz w:val="24"/>
          <w:szCs w:val="24"/>
        </w:rPr>
      </w:pP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           Odbiór usług  dokonywany jest na zasadzie odbioru ostatecznego, z którego sporządza się protokół odbioru.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           Odbioru dokonuje przedstawiciel Zamawiającego po zgłoszeniu wykonania usług przez Wykonawcę, na podstawie kontroli jakości wykonania usług, obmiaru w terenie i po stwierdzeniu zgodności wykonania tych usług ze „Szczegółowymi warunkami technicznymi dla znaków i sygnałów drogowych oraz urządzeń bezpieczeństwa ruchu drogowego </w:t>
      </w:r>
      <w:r>
        <w:rPr>
          <w:sz w:val="24"/>
          <w:szCs w:val="24"/>
        </w:rPr>
        <w:br/>
        <w:t>i warunkami technicznymi dla znaków i sygnałów drogowych oraz urządzeń bezpieczeństwa ruchu drogowego i warunkami ich umieszczania na drogach” oraz umową</w:t>
      </w:r>
    </w:p>
    <w:p w:rsidR="006C6972" w:rsidRDefault="006C6972" w:rsidP="000A1152">
      <w:pPr>
        <w:pStyle w:val="Standardowytekst"/>
        <w:rPr>
          <w:b/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9. PODSTAWA PŁATNOŚCI</w:t>
      </w:r>
    </w:p>
    <w:p w:rsidR="006C6972" w:rsidRDefault="006C6972" w:rsidP="000A1152">
      <w:pPr>
        <w:pStyle w:val="Standardowytekst"/>
        <w:rPr>
          <w:b/>
          <w:sz w:val="24"/>
          <w:szCs w:val="24"/>
        </w:rPr>
      </w:pPr>
    </w:p>
    <w:p w:rsidR="006C6972" w:rsidRDefault="006C6972" w:rsidP="000A1152">
      <w:pPr>
        <w:pStyle w:val="Standardowytekst"/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>Zapłata za zrealizowane usługi realizowana będzie na podstawie faktury jednorazowej po zakończeniu całości przedmiotu zamówienia wystawianych nie częściej niż raz w miesiącu.</w:t>
      </w:r>
    </w:p>
    <w:p w:rsidR="006C6972" w:rsidRDefault="006C6972" w:rsidP="000A1152">
      <w:pPr>
        <w:pStyle w:val="Standardowytekst"/>
        <w:rPr>
          <w:sz w:val="24"/>
          <w:szCs w:val="24"/>
        </w:rPr>
      </w:pPr>
    </w:p>
    <w:p w:rsidR="006C6972" w:rsidRDefault="006C6972" w:rsidP="000A1152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>10. PRZEPISY ZWIĄZANE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>Wszystkie ustawione znaki powinny odpowiadać wymogom Rozporządzenia Ministra Infrastruktury z dnia 3 lipca 2003r.w sprawie szczegółowych warunków technicznych dla znaków i sygnałów drogowych oraz urządzeń bezpieczeństwa ruchu drogowego i warunków ich umieszczania na drogach (Dz. U. Nr 220, poz. 2181 z 2003r ze zm.)</w:t>
      </w:r>
    </w:p>
    <w:p w:rsidR="006C6972" w:rsidRDefault="006C6972" w:rsidP="000A1152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>Ponadto obowiązują normy i inne dokumenty wymienione w SST.</w:t>
      </w:r>
    </w:p>
    <w:p w:rsidR="006C6972" w:rsidRDefault="006C6972" w:rsidP="000A1152">
      <w:pPr>
        <w:pStyle w:val="PlainText"/>
        <w:jc w:val="both"/>
        <w:rPr>
          <w:rFonts w:ascii="Times New Roman" w:hAnsi="Times New Roman"/>
          <w:b/>
          <w:color w:val="0000FF"/>
          <w:sz w:val="28"/>
          <w:szCs w:val="28"/>
          <w:u w:val="single"/>
        </w:rPr>
      </w:pPr>
    </w:p>
    <w:p w:rsidR="006C6972" w:rsidRDefault="006C6972"/>
    <w:sectPr w:rsidR="006C6972" w:rsidSect="00ED5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972" w:rsidRDefault="006C6972">
      <w:r>
        <w:separator/>
      </w:r>
    </w:p>
  </w:endnote>
  <w:endnote w:type="continuationSeparator" w:id="0">
    <w:p w:rsidR="006C6972" w:rsidRDefault="006C6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972" w:rsidRDefault="006C6972" w:rsidP="00D76C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6972" w:rsidRDefault="006C69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972" w:rsidRDefault="006C6972" w:rsidP="00D76C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C6972" w:rsidRDefault="006C69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972" w:rsidRDefault="006C6972">
      <w:r>
        <w:separator/>
      </w:r>
    </w:p>
  </w:footnote>
  <w:footnote w:type="continuationSeparator" w:id="0">
    <w:p w:rsidR="006C6972" w:rsidRDefault="006C69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46CAD"/>
    <w:multiLevelType w:val="hybridMultilevel"/>
    <w:tmpl w:val="0C5A5AE4"/>
    <w:lvl w:ilvl="0" w:tplc="BB0C47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715688C"/>
    <w:multiLevelType w:val="hybridMultilevel"/>
    <w:tmpl w:val="288E4534"/>
    <w:lvl w:ilvl="0" w:tplc="7246857A">
      <w:start w:val="1"/>
      <w:numFmt w:val="upperLetter"/>
      <w:lvlText w:val="%1)"/>
      <w:lvlJc w:val="left"/>
      <w:pPr>
        <w:tabs>
          <w:tab w:val="num" w:pos="927"/>
        </w:tabs>
        <w:ind w:left="927" w:hanging="567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472D"/>
    <w:rsid w:val="000A1152"/>
    <w:rsid w:val="000A2B90"/>
    <w:rsid w:val="000D316F"/>
    <w:rsid w:val="00160748"/>
    <w:rsid w:val="0017472D"/>
    <w:rsid w:val="00212A69"/>
    <w:rsid w:val="00300858"/>
    <w:rsid w:val="004C72A9"/>
    <w:rsid w:val="005703AA"/>
    <w:rsid w:val="00570DEB"/>
    <w:rsid w:val="005A677A"/>
    <w:rsid w:val="005F19F1"/>
    <w:rsid w:val="00672EA2"/>
    <w:rsid w:val="006C6972"/>
    <w:rsid w:val="007079A8"/>
    <w:rsid w:val="007E15C7"/>
    <w:rsid w:val="008613F7"/>
    <w:rsid w:val="00895F6A"/>
    <w:rsid w:val="008F2BF8"/>
    <w:rsid w:val="00A54473"/>
    <w:rsid w:val="00A71A51"/>
    <w:rsid w:val="00AD0347"/>
    <w:rsid w:val="00AE53CD"/>
    <w:rsid w:val="00C12152"/>
    <w:rsid w:val="00D76C3B"/>
    <w:rsid w:val="00E666F9"/>
    <w:rsid w:val="00E82366"/>
    <w:rsid w:val="00ED5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15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rsid w:val="000A115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A1152"/>
    <w:rPr>
      <w:rFonts w:ascii="Courier New" w:hAnsi="Courier New" w:cs="Times New Roman"/>
      <w:sz w:val="20"/>
      <w:szCs w:val="20"/>
      <w:lang w:eastAsia="pl-PL"/>
    </w:rPr>
  </w:style>
  <w:style w:type="paragraph" w:customStyle="1" w:styleId="Standardowytekst">
    <w:name w:val="Standardowy.tekst"/>
    <w:uiPriority w:val="99"/>
    <w:rsid w:val="000A1152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613F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2366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613F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9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4</Pages>
  <Words>924</Words>
  <Characters>5546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Żak</dc:creator>
  <cp:keywords/>
  <dc:description/>
  <cp:lastModifiedBy>MR</cp:lastModifiedBy>
  <cp:revision>8</cp:revision>
  <dcterms:created xsi:type="dcterms:W3CDTF">2015-08-10T09:24:00Z</dcterms:created>
  <dcterms:modified xsi:type="dcterms:W3CDTF">2017-10-19T06:51:00Z</dcterms:modified>
</cp:coreProperties>
</file>