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FBDB1" w14:textId="77777777" w:rsidR="00B53AFF" w:rsidRPr="00832A4B" w:rsidRDefault="00061C56" w:rsidP="001475AB">
      <w:pPr>
        <w:pStyle w:val="Nagwek1"/>
        <w:rPr>
          <w:rFonts w:cs="Arial"/>
          <w:b w:val="0"/>
          <w:bCs/>
          <w:sz w:val="22"/>
          <w:szCs w:val="22"/>
        </w:rPr>
      </w:pPr>
      <w:r w:rsidRPr="00832A4B">
        <w:rPr>
          <w:rFonts w:cs="Arial"/>
          <w:b w:val="0"/>
          <w:bCs/>
          <w:sz w:val="22"/>
          <w:szCs w:val="22"/>
        </w:rPr>
        <w:t>Od</w:t>
      </w:r>
      <w:r w:rsidR="00B80538" w:rsidRPr="00832A4B">
        <w:rPr>
          <w:rFonts w:cs="Arial"/>
          <w:b w:val="0"/>
          <w:bCs/>
          <w:sz w:val="22"/>
          <w:szCs w:val="22"/>
        </w:rPr>
        <w:t xml:space="preserve">powiedź na interpelacje </w:t>
      </w:r>
      <w:r w:rsidR="00A65FDB" w:rsidRPr="00832A4B">
        <w:rPr>
          <w:rFonts w:cs="Arial"/>
          <w:b w:val="0"/>
          <w:bCs/>
          <w:sz w:val="22"/>
          <w:szCs w:val="22"/>
        </w:rPr>
        <w:t>Radnego</w:t>
      </w:r>
    </w:p>
    <w:p w14:paraId="237DD20C" w14:textId="13BF1F7F" w:rsidR="001475AB" w:rsidRPr="00832A4B" w:rsidRDefault="001475AB" w:rsidP="001475AB">
      <w:pPr>
        <w:rPr>
          <w:rFonts w:ascii="Arial" w:hAnsi="Arial" w:cs="Arial"/>
          <w:b/>
          <w:bCs/>
          <w:sz w:val="22"/>
          <w:szCs w:val="22"/>
        </w:rPr>
      </w:pPr>
      <w:r w:rsidRPr="00832A4B">
        <w:rPr>
          <w:rFonts w:ascii="Arial" w:hAnsi="Arial" w:cs="Arial"/>
          <w:b/>
          <w:sz w:val="22"/>
          <w:szCs w:val="22"/>
        </w:rPr>
        <w:br/>
      </w:r>
      <w:r w:rsidRPr="00832A4B">
        <w:rPr>
          <w:rFonts w:ascii="Arial" w:hAnsi="Arial" w:cs="Arial"/>
          <w:bCs/>
          <w:sz w:val="22"/>
          <w:szCs w:val="22"/>
        </w:rPr>
        <w:t>Interpelacja</w:t>
      </w:r>
      <w:r w:rsidR="00B5184C" w:rsidRPr="00832A4B">
        <w:rPr>
          <w:rFonts w:ascii="Arial" w:hAnsi="Arial" w:cs="Arial"/>
          <w:sz w:val="22"/>
          <w:szCs w:val="22"/>
        </w:rPr>
        <w:t xml:space="preserve"> </w:t>
      </w:r>
      <w:r w:rsidR="00B5184C" w:rsidRPr="00832A4B">
        <w:rPr>
          <w:rFonts w:ascii="Arial" w:hAnsi="Arial" w:cs="Arial"/>
          <w:b/>
          <w:sz w:val="22"/>
          <w:szCs w:val="22"/>
        </w:rPr>
        <w:t>radnej Marleny Wężyk - Głowackiej z dnia 23.1</w:t>
      </w:r>
      <w:r w:rsidR="00BF5D74">
        <w:rPr>
          <w:rFonts w:ascii="Arial" w:hAnsi="Arial" w:cs="Arial"/>
          <w:b/>
          <w:sz w:val="22"/>
          <w:szCs w:val="22"/>
        </w:rPr>
        <w:t>1</w:t>
      </w:r>
      <w:r w:rsidR="00B5184C" w:rsidRPr="00832A4B">
        <w:rPr>
          <w:rFonts w:ascii="Arial" w:hAnsi="Arial" w:cs="Arial"/>
          <w:b/>
          <w:sz w:val="22"/>
          <w:szCs w:val="22"/>
        </w:rPr>
        <w:t xml:space="preserve">.2020 r. </w:t>
      </w:r>
    </w:p>
    <w:p w14:paraId="2CEFE868" w14:textId="77777777" w:rsidR="001475AB" w:rsidRPr="00832A4B" w:rsidRDefault="001475AB" w:rsidP="001475AB">
      <w:pPr>
        <w:rPr>
          <w:rFonts w:ascii="Arial" w:hAnsi="Arial" w:cs="Arial"/>
          <w:bCs/>
          <w:sz w:val="22"/>
          <w:szCs w:val="22"/>
        </w:rPr>
      </w:pPr>
    </w:p>
    <w:p w14:paraId="0AB3B3A7" w14:textId="638188CD" w:rsidR="001475AB" w:rsidRPr="00832A4B" w:rsidRDefault="001475AB" w:rsidP="00DF3D9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32A4B">
        <w:rPr>
          <w:rFonts w:ascii="Arial" w:hAnsi="Arial" w:cs="Arial"/>
          <w:bCs/>
          <w:sz w:val="22"/>
          <w:szCs w:val="22"/>
        </w:rPr>
        <w:t xml:space="preserve">Tytuł interpelacji: </w:t>
      </w:r>
      <w:r w:rsidR="00B5184C" w:rsidRPr="00832A4B">
        <w:rPr>
          <w:rFonts w:ascii="Arial" w:hAnsi="Arial" w:cs="Arial"/>
          <w:b/>
          <w:bCs/>
          <w:sz w:val="22"/>
          <w:szCs w:val="22"/>
        </w:rPr>
        <w:t xml:space="preserve">dot. </w:t>
      </w:r>
      <w:r w:rsidR="00BF5D74">
        <w:rPr>
          <w:rFonts w:ascii="Arial" w:hAnsi="Arial" w:cs="Arial"/>
          <w:b/>
          <w:bCs/>
          <w:sz w:val="22"/>
          <w:szCs w:val="22"/>
        </w:rPr>
        <w:t xml:space="preserve">funkcjonowania </w:t>
      </w:r>
      <w:r w:rsidR="00B5184C" w:rsidRPr="00832A4B">
        <w:rPr>
          <w:rFonts w:ascii="Arial" w:hAnsi="Arial" w:cs="Arial"/>
          <w:b/>
          <w:bCs/>
          <w:sz w:val="22"/>
          <w:szCs w:val="22"/>
        </w:rPr>
        <w:t xml:space="preserve">schroniska dla bezdomnych zwierząt </w:t>
      </w:r>
      <w:r w:rsidR="00BF5D74">
        <w:rPr>
          <w:rFonts w:ascii="Arial" w:hAnsi="Arial" w:cs="Arial"/>
          <w:b/>
          <w:bCs/>
          <w:sz w:val="22"/>
          <w:szCs w:val="22"/>
        </w:rPr>
        <w:t>w Piotrkowie Trybunalskim</w:t>
      </w:r>
    </w:p>
    <w:p w14:paraId="2AFFC74A" w14:textId="77777777" w:rsidR="001475AB" w:rsidRPr="00832A4B" w:rsidRDefault="001475AB" w:rsidP="001475AB">
      <w:pPr>
        <w:rPr>
          <w:rFonts w:ascii="Arial" w:hAnsi="Arial" w:cs="Arial"/>
          <w:bCs/>
          <w:sz w:val="22"/>
          <w:szCs w:val="22"/>
        </w:rPr>
      </w:pPr>
    </w:p>
    <w:p w14:paraId="40CCE001" w14:textId="43E354A5" w:rsidR="00B53AFF" w:rsidRPr="00832A4B" w:rsidRDefault="001475AB" w:rsidP="001475AB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832A4B">
        <w:rPr>
          <w:rFonts w:ascii="Arial" w:hAnsi="Arial" w:cs="Arial"/>
          <w:bCs/>
          <w:sz w:val="22"/>
          <w:szCs w:val="22"/>
        </w:rPr>
        <w:t xml:space="preserve">Treść odpowiedzi: </w:t>
      </w:r>
    </w:p>
    <w:p w14:paraId="47932365" w14:textId="77777777" w:rsidR="00B5184C" w:rsidRDefault="00B5184C" w:rsidP="00B5184C">
      <w:pPr>
        <w:jc w:val="both"/>
        <w:rPr>
          <w:rFonts w:ascii="Arial" w:hAnsi="Arial" w:cs="Arial"/>
          <w:sz w:val="24"/>
          <w:szCs w:val="24"/>
        </w:rPr>
      </w:pPr>
    </w:p>
    <w:p w14:paraId="72C1BCF8" w14:textId="7F6805C6" w:rsidR="00B5184C" w:rsidRDefault="00BF5D74" w:rsidP="005F484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B5184C" w:rsidRPr="00832A4B">
        <w:rPr>
          <w:rFonts w:ascii="Arial" w:hAnsi="Arial" w:cs="Arial"/>
          <w:sz w:val="22"/>
          <w:szCs w:val="22"/>
        </w:rPr>
        <w:t xml:space="preserve"> wyjaśnień od Pani Grażyny </w:t>
      </w:r>
      <w:proofErr w:type="spellStart"/>
      <w:r w:rsidR="00B5184C" w:rsidRPr="00832A4B">
        <w:rPr>
          <w:rFonts w:ascii="Arial" w:hAnsi="Arial" w:cs="Arial"/>
          <w:sz w:val="22"/>
          <w:szCs w:val="22"/>
        </w:rPr>
        <w:t>Fałek</w:t>
      </w:r>
      <w:proofErr w:type="spellEnd"/>
      <w:r w:rsidR="00B5184C" w:rsidRPr="00832A4B">
        <w:rPr>
          <w:rFonts w:ascii="Arial" w:hAnsi="Arial" w:cs="Arial"/>
          <w:sz w:val="22"/>
          <w:szCs w:val="22"/>
        </w:rPr>
        <w:t xml:space="preserve"> Prezesa oddziału TOZ w Piotrkowie Trybunalskim, realizującej na zlecenie Miasta zadanie pn.: zapewnienie opieki zwierzętom bezdomnym i zapobieganie ich bezdomności poprzez prowadzenie schroniska dla bezdomnych zwierząt </w:t>
      </w:r>
      <w:r>
        <w:rPr>
          <w:rFonts w:ascii="Arial" w:hAnsi="Arial" w:cs="Arial"/>
          <w:sz w:val="22"/>
          <w:szCs w:val="22"/>
        </w:rPr>
        <w:t>oraz posiadanych dokumentów wyjaśniam:</w:t>
      </w:r>
    </w:p>
    <w:p w14:paraId="53B6372F" w14:textId="77777777" w:rsidR="002C41C6" w:rsidRDefault="002C41C6" w:rsidP="002C41C6">
      <w:pPr>
        <w:jc w:val="both"/>
        <w:rPr>
          <w:rFonts w:ascii="Arial" w:hAnsi="Arial" w:cs="Arial"/>
          <w:sz w:val="22"/>
          <w:szCs w:val="22"/>
        </w:rPr>
      </w:pPr>
    </w:p>
    <w:p w14:paraId="5E74734D" w14:textId="4B8330B3" w:rsidR="00BF5D74" w:rsidRDefault="00BF5D74" w:rsidP="002C41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1. </w:t>
      </w:r>
      <w:r w:rsidR="00907CB8">
        <w:rPr>
          <w:rFonts w:ascii="Arial" w:hAnsi="Arial" w:cs="Arial"/>
          <w:sz w:val="22"/>
          <w:szCs w:val="22"/>
        </w:rPr>
        <w:t xml:space="preserve">Na podstawie </w:t>
      </w:r>
      <w:r w:rsidR="002C41C6">
        <w:rPr>
          <w:rFonts w:ascii="Arial" w:hAnsi="Arial" w:cs="Arial"/>
          <w:sz w:val="22"/>
          <w:szCs w:val="22"/>
        </w:rPr>
        <w:t>§ 6 ust. 2. programu opieki nad zwierzętami bezdomnymi oraz zapobiegania bezdomności zwierząt przyjętego uchwałą nr XVIII/289/20 Rady Miasta Piotrkowa Trybunalskiego z dnia 18 marca 2020 r., „odławianie bezdomnych zwierząt z terenu Miasta Piotrkowa Trybunalskiego, jako działanie o charakterze stałym, realizuje podmiot prowadzący schronisko. Zgłoszenia od mieszkańców Miasta o bezdomnych zwierzętach przyjmuje Straż Miejska i Schronisko”.</w:t>
      </w:r>
    </w:p>
    <w:p w14:paraId="37C11CC7" w14:textId="77777777" w:rsidR="00AF7CD8" w:rsidRDefault="00AF7CD8" w:rsidP="002C41C6">
      <w:pPr>
        <w:jc w:val="both"/>
        <w:rPr>
          <w:rFonts w:ascii="Arial" w:hAnsi="Arial" w:cs="Arial"/>
          <w:sz w:val="22"/>
          <w:szCs w:val="22"/>
        </w:rPr>
      </w:pPr>
    </w:p>
    <w:p w14:paraId="2A059D4D" w14:textId="224DDE54" w:rsidR="002C41C6" w:rsidRDefault="002C41C6" w:rsidP="002C41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Ad. 2.</w:t>
      </w:r>
      <w:r w:rsidR="00F244DD">
        <w:rPr>
          <w:rFonts w:ascii="Arial" w:hAnsi="Arial" w:cs="Arial"/>
          <w:sz w:val="22"/>
          <w:szCs w:val="22"/>
        </w:rPr>
        <w:t xml:space="preserve"> Zgodnie z zapisami umowy, Schronisko zobowiązane jest podejmować interwencje niezwłocznie po przyjęciu zgłoszenia.</w:t>
      </w:r>
    </w:p>
    <w:p w14:paraId="0679C541" w14:textId="77777777" w:rsidR="00AF7CD8" w:rsidRDefault="00AF7CD8" w:rsidP="002C41C6">
      <w:pPr>
        <w:jc w:val="both"/>
        <w:rPr>
          <w:rFonts w:ascii="Arial" w:hAnsi="Arial" w:cs="Arial"/>
          <w:sz w:val="22"/>
          <w:szCs w:val="22"/>
        </w:rPr>
      </w:pPr>
    </w:p>
    <w:p w14:paraId="1EC2629D" w14:textId="7FEF9F3A" w:rsidR="00F244DD" w:rsidRDefault="00F244DD" w:rsidP="002C41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Ad. 3. </w:t>
      </w:r>
      <w:r w:rsidR="00367F6C">
        <w:rPr>
          <w:rFonts w:ascii="Arial" w:hAnsi="Arial" w:cs="Arial"/>
          <w:sz w:val="22"/>
          <w:szCs w:val="22"/>
        </w:rPr>
        <w:t>Schronisko nie prowadzi ewidencji wyjazdów zawierających datę, godzinę, miejsce oraz liczbę kilometrów. Każdorazowo, p</w:t>
      </w:r>
      <w:r>
        <w:rPr>
          <w:rFonts w:ascii="Arial" w:hAnsi="Arial" w:cs="Arial"/>
          <w:sz w:val="22"/>
          <w:szCs w:val="22"/>
        </w:rPr>
        <w:t>o przyjęciu zgłoszenia, pra</w:t>
      </w:r>
      <w:r w:rsidR="00367F6C">
        <w:rPr>
          <w:rFonts w:ascii="Arial" w:hAnsi="Arial" w:cs="Arial"/>
          <w:sz w:val="22"/>
          <w:szCs w:val="22"/>
        </w:rPr>
        <w:t>cownik wyjeżdża na interwencję</w:t>
      </w:r>
      <w:r>
        <w:rPr>
          <w:rFonts w:ascii="Arial" w:hAnsi="Arial" w:cs="Arial"/>
          <w:sz w:val="22"/>
          <w:szCs w:val="22"/>
        </w:rPr>
        <w:t xml:space="preserve"> na polecenie kierownika schroniska. </w:t>
      </w:r>
      <w:r w:rsidR="00367F6C">
        <w:rPr>
          <w:rFonts w:ascii="Arial" w:hAnsi="Arial" w:cs="Arial"/>
          <w:sz w:val="22"/>
          <w:szCs w:val="22"/>
        </w:rPr>
        <w:t>Oprócz interwencji samochód służ</w:t>
      </w:r>
      <w:r>
        <w:rPr>
          <w:rFonts w:ascii="Arial" w:hAnsi="Arial" w:cs="Arial"/>
          <w:sz w:val="22"/>
          <w:szCs w:val="22"/>
        </w:rPr>
        <w:t>y do zał</w:t>
      </w:r>
      <w:r w:rsidR="00367F6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twiania codziennych spraw związanych </w:t>
      </w:r>
      <w:r w:rsidR="00367F6C">
        <w:rPr>
          <w:rFonts w:ascii="Arial" w:hAnsi="Arial" w:cs="Arial"/>
          <w:sz w:val="22"/>
          <w:szCs w:val="22"/>
        </w:rPr>
        <w:t>z funkcjonowaniem schroniska (np. transportu zwierząt do lecznicy, pomocy karmicielom kotów wolno żyjących – dostarczenie karmy, wyłapywanie kotów do kastracji, kontrole w terenie).</w:t>
      </w:r>
    </w:p>
    <w:p w14:paraId="0891029E" w14:textId="77777777" w:rsidR="00AF7CD8" w:rsidRDefault="00AF7CD8" w:rsidP="002C41C6">
      <w:pPr>
        <w:jc w:val="both"/>
        <w:rPr>
          <w:rFonts w:ascii="Arial" w:hAnsi="Arial" w:cs="Arial"/>
          <w:sz w:val="22"/>
          <w:szCs w:val="22"/>
        </w:rPr>
      </w:pPr>
    </w:p>
    <w:p w14:paraId="2B10F0CF" w14:textId="28E61FD5" w:rsidR="00367F6C" w:rsidRDefault="00367F6C" w:rsidP="002C41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Ad.4. Zgodnie z zapisami regulaminu </w:t>
      </w:r>
      <w:r w:rsidR="007E3369">
        <w:rPr>
          <w:rFonts w:ascii="Arial" w:hAnsi="Arial" w:cs="Arial"/>
          <w:sz w:val="22"/>
          <w:szCs w:val="22"/>
        </w:rPr>
        <w:t>schroniska (załącznik nr 2 do umowy 407/IGK/I/19)</w:t>
      </w:r>
      <w:r w:rsidR="00A17DAE">
        <w:rPr>
          <w:rFonts w:ascii="Arial" w:hAnsi="Arial" w:cs="Arial"/>
          <w:sz w:val="22"/>
          <w:szCs w:val="22"/>
        </w:rPr>
        <w:t xml:space="preserve">, każde zwierzę </w:t>
      </w:r>
      <w:r w:rsidR="00096E95">
        <w:rPr>
          <w:rFonts w:ascii="Arial" w:hAnsi="Arial" w:cs="Arial"/>
          <w:sz w:val="22"/>
          <w:szCs w:val="22"/>
        </w:rPr>
        <w:t>powinno być</w:t>
      </w:r>
      <w:r w:rsidR="00A17DAE">
        <w:rPr>
          <w:rFonts w:ascii="Arial" w:hAnsi="Arial" w:cs="Arial"/>
          <w:sz w:val="22"/>
          <w:szCs w:val="22"/>
        </w:rPr>
        <w:t xml:space="preserve"> wpisane do wykazu wraz z jego opisem oraz  danymi w zakresie: daty przyjęcia, danych i adresu osoby przekazującej zwierzę do schroniska. Niestety, zasłaniając się RODO, nie ws</w:t>
      </w:r>
      <w:r w:rsidR="00096E95">
        <w:rPr>
          <w:rFonts w:ascii="Arial" w:hAnsi="Arial" w:cs="Arial"/>
          <w:sz w:val="22"/>
          <w:szCs w:val="22"/>
        </w:rPr>
        <w:t>zystkie osoby podają swoje dane osobowe.</w:t>
      </w:r>
    </w:p>
    <w:p w14:paraId="3E1E1D1F" w14:textId="77777777" w:rsidR="00AF7CD8" w:rsidRDefault="00AF7CD8" w:rsidP="002C41C6">
      <w:pPr>
        <w:jc w:val="both"/>
        <w:rPr>
          <w:rFonts w:ascii="Arial" w:hAnsi="Arial" w:cs="Arial"/>
          <w:sz w:val="22"/>
          <w:szCs w:val="22"/>
        </w:rPr>
      </w:pPr>
    </w:p>
    <w:p w14:paraId="3470653F" w14:textId="16C20E0A" w:rsidR="002C41C6" w:rsidRDefault="001E6D7A" w:rsidP="001E6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Ad. 5. Monitoring został założony ze środków TOZ oddział w Piotrkowie Trybunalskim i służy do monitorowania bieżących zdarzeń, które mają miejsce w schronisku</w:t>
      </w:r>
      <w:r w:rsidR="00724880">
        <w:rPr>
          <w:rFonts w:ascii="Arial" w:hAnsi="Arial" w:cs="Arial"/>
          <w:sz w:val="22"/>
          <w:szCs w:val="22"/>
        </w:rPr>
        <w:t xml:space="preserve">. Zdarzenia te nie zapisują się, ponieważ monitoring nie posiada karty pamięci. Aby uniknąć niejasności, od </w:t>
      </w:r>
      <w:r w:rsidR="00793FDC">
        <w:rPr>
          <w:rFonts w:ascii="Arial" w:hAnsi="Arial" w:cs="Arial"/>
          <w:sz w:val="22"/>
          <w:szCs w:val="22"/>
        </w:rPr>
        <w:t xml:space="preserve">                     </w:t>
      </w:r>
      <w:r w:rsidR="00724880">
        <w:rPr>
          <w:rFonts w:ascii="Arial" w:hAnsi="Arial" w:cs="Arial"/>
          <w:sz w:val="22"/>
          <w:szCs w:val="22"/>
        </w:rPr>
        <w:t>m-ca października br. schronisko wykonuje zdjęcia dokumentujące porzucenie zwierzęcia na terenie schroniska.</w:t>
      </w:r>
    </w:p>
    <w:p w14:paraId="2450112B" w14:textId="77777777" w:rsidR="00AF7CD8" w:rsidRDefault="00AF7CD8" w:rsidP="001E6D7A">
      <w:pPr>
        <w:jc w:val="both"/>
        <w:rPr>
          <w:rFonts w:ascii="Arial" w:hAnsi="Arial" w:cs="Arial"/>
          <w:sz w:val="22"/>
          <w:szCs w:val="22"/>
        </w:rPr>
      </w:pPr>
    </w:p>
    <w:p w14:paraId="6082231F" w14:textId="7D7BD221" w:rsidR="00724880" w:rsidRDefault="00724880" w:rsidP="001E6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Ad. </w:t>
      </w:r>
      <w:r w:rsidR="006C19A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Porzucone zwierzę</w:t>
      </w:r>
      <w:r w:rsidR="00793FDC">
        <w:rPr>
          <w:rFonts w:ascii="Arial" w:hAnsi="Arial" w:cs="Arial"/>
          <w:sz w:val="22"/>
          <w:szCs w:val="22"/>
        </w:rPr>
        <w:t xml:space="preserve"> z reguły </w:t>
      </w:r>
      <w:r>
        <w:rPr>
          <w:rFonts w:ascii="Arial" w:hAnsi="Arial" w:cs="Arial"/>
          <w:sz w:val="22"/>
          <w:szCs w:val="22"/>
        </w:rPr>
        <w:t xml:space="preserve">jest </w:t>
      </w:r>
      <w:r w:rsidR="00793FDC">
        <w:rPr>
          <w:rFonts w:ascii="Arial" w:hAnsi="Arial" w:cs="Arial"/>
          <w:sz w:val="22"/>
          <w:szCs w:val="22"/>
        </w:rPr>
        <w:t xml:space="preserve">nieoznakowane, zatem </w:t>
      </w:r>
      <w:r>
        <w:rPr>
          <w:rFonts w:ascii="Arial" w:hAnsi="Arial" w:cs="Arial"/>
          <w:sz w:val="22"/>
          <w:szCs w:val="22"/>
        </w:rPr>
        <w:t xml:space="preserve">traktowane </w:t>
      </w:r>
      <w:r w:rsidR="00793FDC">
        <w:rPr>
          <w:rFonts w:ascii="Arial" w:hAnsi="Arial" w:cs="Arial"/>
          <w:sz w:val="22"/>
          <w:szCs w:val="22"/>
        </w:rPr>
        <w:t xml:space="preserve">jest </w:t>
      </w:r>
      <w:r>
        <w:rPr>
          <w:rFonts w:ascii="Arial" w:hAnsi="Arial" w:cs="Arial"/>
          <w:sz w:val="22"/>
          <w:szCs w:val="22"/>
        </w:rPr>
        <w:t xml:space="preserve">jako bezdomne. </w:t>
      </w:r>
      <w:r w:rsidR="00F70234">
        <w:rPr>
          <w:rFonts w:ascii="Arial" w:hAnsi="Arial" w:cs="Arial"/>
          <w:sz w:val="22"/>
          <w:szCs w:val="22"/>
        </w:rPr>
        <w:t xml:space="preserve">Nie było przypadków zgłaszania porzucenia </w:t>
      </w:r>
      <w:r w:rsidR="00793FDC">
        <w:rPr>
          <w:rFonts w:ascii="Arial" w:hAnsi="Arial" w:cs="Arial"/>
          <w:sz w:val="22"/>
          <w:szCs w:val="22"/>
        </w:rPr>
        <w:t xml:space="preserve">zwierząt </w:t>
      </w:r>
      <w:r w:rsidR="00F70234">
        <w:rPr>
          <w:rFonts w:ascii="Arial" w:hAnsi="Arial" w:cs="Arial"/>
          <w:sz w:val="22"/>
          <w:szCs w:val="22"/>
        </w:rPr>
        <w:t>do organów ścigania.</w:t>
      </w:r>
      <w:r w:rsidR="00793FDC">
        <w:rPr>
          <w:rFonts w:ascii="Arial" w:hAnsi="Arial" w:cs="Arial"/>
          <w:sz w:val="22"/>
          <w:szCs w:val="22"/>
        </w:rPr>
        <w:t xml:space="preserve"> </w:t>
      </w:r>
    </w:p>
    <w:p w14:paraId="4B35CF60" w14:textId="77777777" w:rsidR="00AF7CD8" w:rsidRDefault="00AF7CD8" w:rsidP="001E6D7A">
      <w:pPr>
        <w:jc w:val="both"/>
        <w:rPr>
          <w:rFonts w:ascii="Arial" w:hAnsi="Arial" w:cs="Arial"/>
          <w:sz w:val="22"/>
          <w:szCs w:val="22"/>
        </w:rPr>
      </w:pPr>
    </w:p>
    <w:p w14:paraId="6A612FB5" w14:textId="30524C24" w:rsidR="00F70234" w:rsidRDefault="00F70234" w:rsidP="001E6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Ad.</w:t>
      </w:r>
      <w:r w:rsidR="006C19A9">
        <w:rPr>
          <w:rFonts w:ascii="Arial" w:hAnsi="Arial" w:cs="Arial"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>.</w:t>
      </w:r>
      <w:r w:rsidR="00793FDC">
        <w:rPr>
          <w:rFonts w:ascii="Arial" w:hAnsi="Arial" w:cs="Arial"/>
          <w:sz w:val="22"/>
          <w:szCs w:val="22"/>
        </w:rPr>
        <w:t xml:space="preserve"> Wszystkie psy przechodzą 14 dniową k</w:t>
      </w:r>
      <w:r w:rsidR="00651E4C">
        <w:rPr>
          <w:rFonts w:ascii="Arial" w:hAnsi="Arial" w:cs="Arial"/>
          <w:sz w:val="22"/>
          <w:szCs w:val="22"/>
        </w:rPr>
        <w:t xml:space="preserve">warantannę zgodnie z przepisami. Oprócz budynku kwarantanny, w schronisku są inne pomieszczenia przystosowane do tego celu. Nie każdego psa można umieścić w boksie na zewnętrz. W roku 2019 do schroniska trafiło 525 psów, </w:t>
      </w:r>
      <w:r w:rsidR="00AF7CD8">
        <w:rPr>
          <w:rFonts w:ascii="Arial" w:hAnsi="Arial" w:cs="Arial"/>
          <w:sz w:val="22"/>
          <w:szCs w:val="22"/>
        </w:rPr>
        <w:t>z tej ilości 90 od</w:t>
      </w:r>
      <w:r w:rsidR="00096E95">
        <w:rPr>
          <w:rFonts w:ascii="Arial" w:hAnsi="Arial" w:cs="Arial"/>
          <w:sz w:val="22"/>
          <w:szCs w:val="22"/>
        </w:rPr>
        <w:t>ebrali właściciele</w:t>
      </w:r>
      <w:r w:rsidR="00AF7CD8">
        <w:rPr>
          <w:rFonts w:ascii="Arial" w:hAnsi="Arial" w:cs="Arial"/>
          <w:sz w:val="22"/>
          <w:szCs w:val="22"/>
        </w:rPr>
        <w:t xml:space="preserve">. Taki pies przebywa krócej niż 14 dni na kwarantannie, z reguły maksymalnie do 48 godzin. Jeżeli do schroniska trafiają szczeniaki, a takich w roku 2019 było 169, nie są one umieszczane w </w:t>
      </w:r>
      <w:r w:rsidR="00096E95">
        <w:rPr>
          <w:rFonts w:ascii="Arial" w:hAnsi="Arial" w:cs="Arial"/>
          <w:sz w:val="22"/>
          <w:szCs w:val="22"/>
        </w:rPr>
        <w:t>budynku kwarantanny</w:t>
      </w:r>
      <w:r w:rsidR="00AF7CD8">
        <w:rPr>
          <w:rFonts w:ascii="Arial" w:hAnsi="Arial" w:cs="Arial"/>
          <w:sz w:val="22"/>
          <w:szCs w:val="22"/>
        </w:rPr>
        <w:t xml:space="preserve"> na zewnątrz, tylko </w:t>
      </w:r>
      <w:r w:rsidR="00096E95">
        <w:rPr>
          <w:rFonts w:ascii="Arial" w:hAnsi="Arial" w:cs="Arial"/>
          <w:sz w:val="22"/>
          <w:szCs w:val="22"/>
        </w:rPr>
        <w:t>w izolatce</w:t>
      </w:r>
      <w:r w:rsidR="00AF7CD8">
        <w:rPr>
          <w:rFonts w:ascii="Arial" w:hAnsi="Arial" w:cs="Arial"/>
          <w:sz w:val="22"/>
          <w:szCs w:val="22"/>
        </w:rPr>
        <w:t xml:space="preserve"> dla szczeniaków znajdującej się w budynku</w:t>
      </w:r>
      <w:r w:rsidR="00096E95">
        <w:rPr>
          <w:rFonts w:ascii="Arial" w:hAnsi="Arial" w:cs="Arial"/>
          <w:sz w:val="22"/>
          <w:szCs w:val="22"/>
        </w:rPr>
        <w:t xml:space="preserve"> nr 1</w:t>
      </w:r>
      <w:r w:rsidR="00AF7CD8">
        <w:rPr>
          <w:rFonts w:ascii="Arial" w:hAnsi="Arial" w:cs="Arial"/>
          <w:sz w:val="22"/>
          <w:szCs w:val="22"/>
        </w:rPr>
        <w:t xml:space="preserve"> lub w okresie letnim w specjalnych ogródkach. Ponadto suczki w stanie wysokiej ciąży, również nie są umieszczane w budynku kwarantanny, tylko w pomieszczeniu </w:t>
      </w:r>
      <w:r w:rsidR="00096E95">
        <w:rPr>
          <w:rFonts w:ascii="Arial" w:hAnsi="Arial" w:cs="Arial"/>
          <w:sz w:val="22"/>
          <w:szCs w:val="22"/>
        </w:rPr>
        <w:t>do tego przeznaczonym.</w:t>
      </w:r>
      <w:r w:rsidR="00AF7CD8">
        <w:rPr>
          <w:rFonts w:ascii="Arial" w:hAnsi="Arial" w:cs="Arial"/>
          <w:sz w:val="22"/>
          <w:szCs w:val="22"/>
        </w:rPr>
        <w:t xml:space="preserve"> Innym przykładem jest mały pies o wadze</w:t>
      </w:r>
      <w:r w:rsidR="00096E95">
        <w:rPr>
          <w:rFonts w:ascii="Arial" w:hAnsi="Arial" w:cs="Arial"/>
          <w:sz w:val="22"/>
          <w:szCs w:val="22"/>
        </w:rPr>
        <w:br/>
      </w:r>
      <w:r w:rsidR="00AF7CD8">
        <w:rPr>
          <w:rFonts w:ascii="Arial" w:hAnsi="Arial" w:cs="Arial"/>
          <w:sz w:val="22"/>
          <w:szCs w:val="22"/>
        </w:rPr>
        <w:t>4 kg, który umieszczany jest w izolatce.</w:t>
      </w:r>
    </w:p>
    <w:p w14:paraId="28041F41" w14:textId="135EFC63" w:rsidR="00724880" w:rsidRDefault="00AF7CD8" w:rsidP="001E6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Ad.</w:t>
      </w:r>
      <w:r w:rsidR="006C19A9">
        <w:rPr>
          <w:rFonts w:ascii="Arial" w:hAnsi="Arial" w:cs="Arial"/>
          <w:sz w:val="22"/>
          <w:szCs w:val="22"/>
        </w:rPr>
        <w:t xml:space="preserve"> 8</w:t>
      </w:r>
      <w:r>
        <w:rPr>
          <w:rFonts w:ascii="Arial" w:hAnsi="Arial" w:cs="Arial"/>
          <w:sz w:val="22"/>
          <w:szCs w:val="22"/>
        </w:rPr>
        <w:t>.</w:t>
      </w:r>
      <w:r w:rsidR="006C19A9">
        <w:rPr>
          <w:rFonts w:ascii="Arial" w:hAnsi="Arial" w:cs="Arial"/>
          <w:sz w:val="22"/>
          <w:szCs w:val="22"/>
        </w:rPr>
        <w:t xml:space="preserve"> Nie prowadzona jest ewidencja dezynfekcji boksów kwarantanny. Każdorazowo po opuszczeniu przez psa pomieszczenia, pracownik sprzątający dezynfekuje boks</w:t>
      </w:r>
      <w:r w:rsidR="005E24BA">
        <w:rPr>
          <w:rFonts w:ascii="Arial" w:hAnsi="Arial" w:cs="Arial"/>
          <w:sz w:val="22"/>
          <w:szCs w:val="22"/>
        </w:rPr>
        <w:t>.</w:t>
      </w:r>
    </w:p>
    <w:p w14:paraId="0AF5D0FC" w14:textId="640BC21C" w:rsidR="005E24BA" w:rsidRDefault="005E24BA" w:rsidP="001E6D7A">
      <w:pPr>
        <w:jc w:val="both"/>
        <w:rPr>
          <w:rFonts w:ascii="Arial" w:hAnsi="Arial" w:cs="Arial"/>
          <w:sz w:val="22"/>
          <w:szCs w:val="22"/>
        </w:rPr>
      </w:pPr>
    </w:p>
    <w:p w14:paraId="1FA59CDD" w14:textId="3775542A" w:rsidR="00666F2A" w:rsidRDefault="005E24BA" w:rsidP="001E6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Ad.</w:t>
      </w:r>
      <w:r w:rsidR="005336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9. Każdy pies, który trafia do schroniska umieszczany jest w 14 dniowej kwarantannie oraz w zakładce znalezione. </w:t>
      </w:r>
      <w:r w:rsidR="00096E95">
        <w:rPr>
          <w:rFonts w:ascii="Arial" w:hAnsi="Arial" w:cs="Arial"/>
          <w:sz w:val="22"/>
          <w:szCs w:val="22"/>
        </w:rPr>
        <w:t>Natomiast w</w:t>
      </w:r>
      <w:r>
        <w:rPr>
          <w:rFonts w:ascii="Arial" w:hAnsi="Arial" w:cs="Arial"/>
          <w:sz w:val="22"/>
          <w:szCs w:val="22"/>
        </w:rPr>
        <w:t xml:space="preserve"> sy</w:t>
      </w:r>
      <w:r w:rsidR="00832E78">
        <w:rPr>
          <w:rFonts w:ascii="Arial" w:hAnsi="Arial" w:cs="Arial"/>
          <w:sz w:val="22"/>
          <w:szCs w:val="22"/>
        </w:rPr>
        <w:t>tuacji, w której pracownicy mają</w:t>
      </w:r>
      <w:r>
        <w:rPr>
          <w:rFonts w:ascii="Arial" w:hAnsi="Arial" w:cs="Arial"/>
          <w:sz w:val="22"/>
          <w:szCs w:val="22"/>
        </w:rPr>
        <w:t xml:space="preserve"> pewność, że do schroniska trafił pies, który ma lub miał właściciela</w:t>
      </w:r>
      <w:r w:rsidR="00832E78">
        <w:rPr>
          <w:rFonts w:ascii="Arial" w:hAnsi="Arial" w:cs="Arial"/>
          <w:sz w:val="22"/>
          <w:szCs w:val="22"/>
        </w:rPr>
        <w:t xml:space="preserve">, </w:t>
      </w:r>
      <w:r w:rsidR="00335CC1">
        <w:rPr>
          <w:rFonts w:ascii="Arial" w:hAnsi="Arial" w:cs="Arial"/>
          <w:sz w:val="22"/>
          <w:szCs w:val="22"/>
        </w:rPr>
        <w:t>ale z różnych przyczyn właściciel nie może się nim</w:t>
      </w:r>
      <w:r w:rsidR="00682C9E">
        <w:rPr>
          <w:rFonts w:ascii="Arial" w:hAnsi="Arial" w:cs="Arial"/>
          <w:sz w:val="22"/>
          <w:szCs w:val="22"/>
        </w:rPr>
        <w:t xml:space="preserve"> zająć</w:t>
      </w:r>
      <w:r w:rsidR="00335CC1">
        <w:rPr>
          <w:rFonts w:ascii="Arial" w:hAnsi="Arial" w:cs="Arial"/>
          <w:sz w:val="22"/>
          <w:szCs w:val="22"/>
        </w:rPr>
        <w:t xml:space="preserve">, umieszcza się zwierzę w zakładce do adopcji. </w:t>
      </w:r>
      <w:r w:rsidR="00682C9E">
        <w:rPr>
          <w:rFonts w:ascii="Arial" w:hAnsi="Arial" w:cs="Arial"/>
          <w:sz w:val="22"/>
          <w:szCs w:val="22"/>
        </w:rPr>
        <w:t>Jak wynika z wyjaśnień Pani prezes TOZ, p</w:t>
      </w:r>
      <w:r w:rsidR="00335CC1">
        <w:rPr>
          <w:rFonts w:ascii="Arial" w:hAnsi="Arial" w:cs="Arial"/>
          <w:sz w:val="22"/>
          <w:szCs w:val="22"/>
        </w:rPr>
        <w:t xml:space="preserve">racownicy kierują się dobrem zwierzęcia i chcą dać mu większe szanse na szybkie znalezienie domu. Wówczas istnieje możliwość rezerwacji danego psa. </w:t>
      </w:r>
      <w:r w:rsidR="005336C1">
        <w:rPr>
          <w:rFonts w:ascii="Arial" w:hAnsi="Arial" w:cs="Arial"/>
          <w:sz w:val="22"/>
          <w:szCs w:val="22"/>
        </w:rPr>
        <w:t>P</w:t>
      </w:r>
      <w:r w:rsidR="00335CC1">
        <w:rPr>
          <w:rFonts w:ascii="Arial" w:hAnsi="Arial" w:cs="Arial"/>
          <w:sz w:val="22"/>
          <w:szCs w:val="22"/>
        </w:rPr>
        <w:t xml:space="preserve">ies jest </w:t>
      </w:r>
      <w:r w:rsidR="00682C9E">
        <w:rPr>
          <w:rFonts w:ascii="Arial" w:hAnsi="Arial" w:cs="Arial"/>
          <w:sz w:val="22"/>
          <w:szCs w:val="22"/>
        </w:rPr>
        <w:t xml:space="preserve">zatem </w:t>
      </w:r>
      <w:r w:rsidR="00335CC1">
        <w:rPr>
          <w:rFonts w:ascii="Arial" w:hAnsi="Arial" w:cs="Arial"/>
          <w:sz w:val="22"/>
          <w:szCs w:val="22"/>
        </w:rPr>
        <w:t>na kwarantannie 14 dni, ale również widnieje w adopcjach.</w:t>
      </w:r>
      <w:r w:rsidR="005336C1">
        <w:rPr>
          <w:rFonts w:ascii="Arial" w:hAnsi="Arial" w:cs="Arial"/>
          <w:sz w:val="22"/>
          <w:szCs w:val="22"/>
        </w:rPr>
        <w:t xml:space="preserve"> Jeżeli</w:t>
      </w:r>
      <w:r w:rsidR="004754F6">
        <w:rPr>
          <w:rFonts w:ascii="Arial" w:hAnsi="Arial" w:cs="Arial"/>
          <w:sz w:val="22"/>
          <w:szCs w:val="22"/>
        </w:rPr>
        <w:t xml:space="preserve"> </w:t>
      </w:r>
      <w:r w:rsidR="005336C1">
        <w:rPr>
          <w:rFonts w:ascii="Arial" w:hAnsi="Arial" w:cs="Arial"/>
          <w:sz w:val="22"/>
          <w:szCs w:val="22"/>
        </w:rPr>
        <w:t>w trakcie kwarantanny znajdzie się osoba zainteresowana psem, zwierzę jest rezerwowane,</w:t>
      </w:r>
      <w:r w:rsidR="00682C9E">
        <w:rPr>
          <w:rFonts w:ascii="Arial" w:hAnsi="Arial" w:cs="Arial"/>
          <w:sz w:val="22"/>
          <w:szCs w:val="22"/>
        </w:rPr>
        <w:t xml:space="preserve"> a po jej odbyciu</w:t>
      </w:r>
      <w:r w:rsidR="005336C1">
        <w:rPr>
          <w:rFonts w:ascii="Arial" w:hAnsi="Arial" w:cs="Arial"/>
          <w:sz w:val="22"/>
          <w:szCs w:val="22"/>
        </w:rPr>
        <w:t xml:space="preserve"> szczepione, </w:t>
      </w:r>
      <w:r w:rsidR="00666F2A">
        <w:rPr>
          <w:rFonts w:ascii="Arial" w:hAnsi="Arial" w:cs="Arial"/>
          <w:sz w:val="22"/>
          <w:szCs w:val="22"/>
        </w:rPr>
        <w:t>umawiana sterylizacja/kastracja, aby pi</w:t>
      </w:r>
      <w:r w:rsidR="0000358D">
        <w:rPr>
          <w:rFonts w:ascii="Arial" w:hAnsi="Arial" w:cs="Arial"/>
          <w:sz w:val="22"/>
          <w:szCs w:val="22"/>
        </w:rPr>
        <w:t>e</w:t>
      </w:r>
      <w:r w:rsidR="00666F2A">
        <w:rPr>
          <w:rFonts w:ascii="Arial" w:hAnsi="Arial" w:cs="Arial"/>
          <w:sz w:val="22"/>
          <w:szCs w:val="22"/>
        </w:rPr>
        <w:t>s poszedł szybko i sprawnie do nowego domu.</w:t>
      </w:r>
      <w:r w:rsidR="0000358D">
        <w:rPr>
          <w:rFonts w:ascii="Arial" w:hAnsi="Arial" w:cs="Arial"/>
          <w:sz w:val="22"/>
          <w:szCs w:val="22"/>
        </w:rPr>
        <w:t xml:space="preserve"> </w:t>
      </w:r>
    </w:p>
    <w:p w14:paraId="7EE9F703" w14:textId="77777777" w:rsidR="004754F6" w:rsidRDefault="004754F6" w:rsidP="001E6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Bywały sytuacje, w których kastracja/sterylizacja była wykonywana w trakcie kwarantanny                    z uwagi na ratowanie życia zwierzęcia(</w:t>
      </w:r>
      <w:proofErr w:type="spellStart"/>
      <w:r>
        <w:rPr>
          <w:rFonts w:ascii="Arial" w:hAnsi="Arial" w:cs="Arial"/>
          <w:sz w:val="22"/>
          <w:szCs w:val="22"/>
        </w:rPr>
        <w:t>ropomacicze</w:t>
      </w:r>
      <w:proofErr w:type="spellEnd"/>
      <w:r>
        <w:rPr>
          <w:rFonts w:ascii="Arial" w:hAnsi="Arial" w:cs="Arial"/>
          <w:sz w:val="22"/>
          <w:szCs w:val="22"/>
        </w:rPr>
        <w:t xml:space="preserve">, guzy listwy mlecznej, guzy jąder). Ponadto, w przypadku wykonywania operacji ratującej życie, to przy jednej narkozie, wykonywany jest zabieg sterylizacji/kastracji. Do schroniska trafiają również zwierzęta po zabiegach kastracji/sterylizacji, wobec tego przy adopcji widnieje taka informacja. </w:t>
      </w:r>
    </w:p>
    <w:p w14:paraId="00A0188D" w14:textId="2F314E5B" w:rsidR="004754F6" w:rsidRDefault="004754F6" w:rsidP="001E6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Reasumując przytoczone sytuacje wskazują, że </w:t>
      </w:r>
      <w:r w:rsidR="00716844">
        <w:rPr>
          <w:rFonts w:ascii="Arial" w:hAnsi="Arial" w:cs="Arial"/>
          <w:sz w:val="22"/>
          <w:szCs w:val="22"/>
        </w:rPr>
        <w:t>podczas kwarantanny zwierzę zostaje wykastrowane/wysterylizowane.</w:t>
      </w:r>
    </w:p>
    <w:p w14:paraId="23E2B390" w14:textId="77777777" w:rsidR="0000358D" w:rsidRDefault="0000358D" w:rsidP="001E6D7A">
      <w:pPr>
        <w:jc w:val="both"/>
        <w:rPr>
          <w:rFonts w:ascii="Arial" w:hAnsi="Arial" w:cs="Arial"/>
          <w:sz w:val="22"/>
          <w:szCs w:val="22"/>
        </w:rPr>
      </w:pPr>
    </w:p>
    <w:p w14:paraId="1B542810" w14:textId="4712B4C1" w:rsidR="00AF7CD8" w:rsidRDefault="00452FB0" w:rsidP="00452F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Ad.10, 11.</w:t>
      </w:r>
      <w:r w:rsidR="000035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Kontrola </w:t>
      </w:r>
      <w:r w:rsidR="004754F6">
        <w:rPr>
          <w:rFonts w:ascii="Arial" w:hAnsi="Arial" w:cs="Arial"/>
          <w:sz w:val="22"/>
          <w:szCs w:val="22"/>
        </w:rPr>
        <w:t xml:space="preserve">dotyczyła </w:t>
      </w:r>
      <w:r>
        <w:rPr>
          <w:rFonts w:ascii="Arial" w:hAnsi="Arial" w:cs="Arial"/>
          <w:sz w:val="22"/>
          <w:szCs w:val="22"/>
        </w:rPr>
        <w:t xml:space="preserve">analizy </w:t>
      </w:r>
      <w:r w:rsidR="004754F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art ewidencyjnych zwierząt przyjętych do schroniska                     w miesiącach VIII-IX</w:t>
      </w:r>
      <w:r w:rsidR="004754F6">
        <w:rPr>
          <w:rFonts w:ascii="Arial" w:hAnsi="Arial" w:cs="Arial"/>
          <w:sz w:val="22"/>
          <w:szCs w:val="22"/>
        </w:rPr>
        <w:t xml:space="preserve"> 2020 r.</w:t>
      </w:r>
      <w:r>
        <w:rPr>
          <w:rFonts w:ascii="Arial" w:hAnsi="Arial" w:cs="Arial"/>
          <w:sz w:val="22"/>
          <w:szCs w:val="22"/>
        </w:rPr>
        <w:t xml:space="preserve"> i na tej podstawi</w:t>
      </w:r>
      <w:r w:rsidR="00E62A0F">
        <w:rPr>
          <w:rFonts w:ascii="Arial" w:hAnsi="Arial" w:cs="Arial"/>
          <w:sz w:val="22"/>
          <w:szCs w:val="22"/>
        </w:rPr>
        <w:t>e została udzielona odp</w:t>
      </w:r>
      <w:r>
        <w:rPr>
          <w:rFonts w:ascii="Arial" w:hAnsi="Arial" w:cs="Arial"/>
          <w:sz w:val="22"/>
          <w:szCs w:val="22"/>
        </w:rPr>
        <w:t>o</w:t>
      </w:r>
      <w:r w:rsidR="00E62A0F">
        <w:rPr>
          <w:rFonts w:ascii="Arial" w:hAnsi="Arial" w:cs="Arial"/>
          <w:sz w:val="22"/>
          <w:szCs w:val="22"/>
        </w:rPr>
        <w:t>wi</w:t>
      </w:r>
      <w:r>
        <w:rPr>
          <w:rFonts w:ascii="Arial" w:hAnsi="Arial" w:cs="Arial"/>
          <w:sz w:val="22"/>
          <w:szCs w:val="22"/>
        </w:rPr>
        <w:t>edź na interpelację.</w:t>
      </w:r>
      <w:r w:rsidR="004754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Nie został sporządzony protokół. </w:t>
      </w:r>
    </w:p>
    <w:p w14:paraId="33AD223C" w14:textId="77777777" w:rsidR="00E62A0F" w:rsidRDefault="00E62A0F" w:rsidP="00452FB0">
      <w:pPr>
        <w:jc w:val="both"/>
        <w:rPr>
          <w:rFonts w:ascii="Arial" w:hAnsi="Arial" w:cs="Arial"/>
          <w:sz w:val="22"/>
          <w:szCs w:val="22"/>
        </w:rPr>
      </w:pPr>
    </w:p>
    <w:p w14:paraId="378C86DD" w14:textId="77777777" w:rsidR="005D0939" w:rsidRDefault="005D0939" w:rsidP="00452F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Ad. 12.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A661D" w14:paraId="7473C064" w14:textId="77777777" w:rsidTr="00DA661D">
        <w:tc>
          <w:tcPr>
            <w:tcW w:w="1510" w:type="dxa"/>
          </w:tcPr>
          <w:p w14:paraId="19D1C0CE" w14:textId="26198F69" w:rsidR="00DA661D" w:rsidRDefault="00DA661D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510" w:type="dxa"/>
          </w:tcPr>
          <w:p w14:paraId="1EDE4D25" w14:textId="5961E864" w:rsidR="00DA661D" w:rsidRDefault="00DA661D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Przyjęte psy</w:t>
            </w:r>
          </w:p>
        </w:tc>
        <w:tc>
          <w:tcPr>
            <w:tcW w:w="1510" w:type="dxa"/>
          </w:tcPr>
          <w:p w14:paraId="514241A8" w14:textId="336E5966" w:rsidR="00DA661D" w:rsidRDefault="00DA661D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Adopcje psów</w:t>
            </w:r>
          </w:p>
        </w:tc>
        <w:tc>
          <w:tcPr>
            <w:tcW w:w="1510" w:type="dxa"/>
          </w:tcPr>
          <w:p w14:paraId="481809AC" w14:textId="77777777" w:rsidR="00DA661D" w:rsidRDefault="00DA661D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Odebrania </w:t>
            </w:r>
          </w:p>
          <w:p w14:paraId="75DDB33A" w14:textId="39859F41" w:rsidR="00DA661D" w:rsidRDefault="00967D0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A661D">
              <w:rPr>
                <w:rFonts w:ascii="Arial" w:hAnsi="Arial" w:cs="Arial"/>
                <w:sz w:val="22"/>
                <w:szCs w:val="22"/>
              </w:rPr>
              <w:t>sów przez właścicieli</w:t>
            </w:r>
          </w:p>
        </w:tc>
        <w:tc>
          <w:tcPr>
            <w:tcW w:w="1511" w:type="dxa"/>
          </w:tcPr>
          <w:p w14:paraId="5531B92C" w14:textId="4919699B" w:rsidR="00DA661D" w:rsidRDefault="00DA661D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Przyjęte koty</w:t>
            </w:r>
          </w:p>
        </w:tc>
        <w:tc>
          <w:tcPr>
            <w:tcW w:w="1511" w:type="dxa"/>
          </w:tcPr>
          <w:p w14:paraId="6F99A59F" w14:textId="42C20948" w:rsidR="00DA661D" w:rsidRDefault="00DA661D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Adopcje kotów</w:t>
            </w:r>
          </w:p>
        </w:tc>
      </w:tr>
      <w:tr w:rsidR="00967D0C" w14:paraId="078B1D94" w14:textId="77777777" w:rsidTr="00967D0C">
        <w:trPr>
          <w:trHeight w:val="272"/>
        </w:trPr>
        <w:tc>
          <w:tcPr>
            <w:tcW w:w="1510" w:type="dxa"/>
          </w:tcPr>
          <w:p w14:paraId="17A8B172" w14:textId="3E53AA50" w:rsidR="00967D0C" w:rsidRDefault="00967D0C" w:rsidP="00DA66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510" w:type="dxa"/>
          </w:tcPr>
          <w:p w14:paraId="3DAC124B" w14:textId="2AB99070" w:rsidR="00967D0C" w:rsidRDefault="00967D0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354</w:t>
            </w:r>
          </w:p>
        </w:tc>
        <w:tc>
          <w:tcPr>
            <w:tcW w:w="1510" w:type="dxa"/>
          </w:tcPr>
          <w:p w14:paraId="0D46A3B6" w14:textId="563B4C37" w:rsidR="00967D0C" w:rsidRDefault="00967D0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1510" w:type="dxa"/>
            <w:vMerge w:val="restart"/>
          </w:tcPr>
          <w:p w14:paraId="6A033623" w14:textId="78FDCD64" w:rsidR="00967D0C" w:rsidRDefault="00967D0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Ujęte w pozycji adopcje</w:t>
            </w:r>
          </w:p>
        </w:tc>
        <w:tc>
          <w:tcPr>
            <w:tcW w:w="1511" w:type="dxa"/>
          </w:tcPr>
          <w:p w14:paraId="1840BF53" w14:textId="5AAE94A5" w:rsidR="00967D0C" w:rsidRDefault="00470E2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511" w:type="dxa"/>
          </w:tcPr>
          <w:p w14:paraId="06F88821" w14:textId="34969248" w:rsidR="00967D0C" w:rsidRDefault="00470E2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967D0C" w14:paraId="362A3BA3" w14:textId="77777777" w:rsidTr="00DA661D">
        <w:tc>
          <w:tcPr>
            <w:tcW w:w="1510" w:type="dxa"/>
          </w:tcPr>
          <w:p w14:paraId="7EFA6418" w14:textId="0397D72B" w:rsidR="00967D0C" w:rsidRDefault="00967D0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510" w:type="dxa"/>
          </w:tcPr>
          <w:p w14:paraId="66DEE8CC" w14:textId="2BE6D635" w:rsidR="00967D0C" w:rsidRDefault="00967D0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418</w:t>
            </w:r>
          </w:p>
        </w:tc>
        <w:tc>
          <w:tcPr>
            <w:tcW w:w="1510" w:type="dxa"/>
          </w:tcPr>
          <w:p w14:paraId="1095D286" w14:textId="3BE7BE63" w:rsidR="00967D0C" w:rsidRDefault="00967D0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417</w:t>
            </w:r>
          </w:p>
        </w:tc>
        <w:tc>
          <w:tcPr>
            <w:tcW w:w="1510" w:type="dxa"/>
            <w:vMerge/>
          </w:tcPr>
          <w:p w14:paraId="5EBA0E2F" w14:textId="77777777" w:rsidR="00967D0C" w:rsidRDefault="00967D0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</w:tcPr>
          <w:p w14:paraId="22BF010F" w14:textId="76895DC6" w:rsidR="00967D0C" w:rsidRDefault="00470E2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11" w:type="dxa"/>
          </w:tcPr>
          <w:p w14:paraId="14986A14" w14:textId="2B2A9684" w:rsidR="00967D0C" w:rsidRDefault="00470E2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04E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67D0C" w14:paraId="069891AF" w14:textId="77777777" w:rsidTr="00DA661D">
        <w:tc>
          <w:tcPr>
            <w:tcW w:w="1510" w:type="dxa"/>
          </w:tcPr>
          <w:p w14:paraId="0D3EA2CD" w14:textId="73264A49" w:rsidR="00967D0C" w:rsidRDefault="00967D0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510" w:type="dxa"/>
          </w:tcPr>
          <w:p w14:paraId="36F849FF" w14:textId="51B46799" w:rsidR="00967D0C" w:rsidRDefault="00967D0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497</w:t>
            </w:r>
          </w:p>
        </w:tc>
        <w:tc>
          <w:tcPr>
            <w:tcW w:w="1510" w:type="dxa"/>
          </w:tcPr>
          <w:p w14:paraId="6E3B85F7" w14:textId="447F9EBA" w:rsidR="00967D0C" w:rsidRDefault="00967D0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1510" w:type="dxa"/>
            <w:vMerge/>
          </w:tcPr>
          <w:p w14:paraId="7C8F35C2" w14:textId="77777777" w:rsidR="00967D0C" w:rsidRDefault="00967D0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</w:tcPr>
          <w:p w14:paraId="1D0E5C5F" w14:textId="0EDF5AFC" w:rsidR="00967D0C" w:rsidRDefault="00470E2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511" w:type="dxa"/>
          </w:tcPr>
          <w:p w14:paraId="4AFA7CF5" w14:textId="5534D5DF" w:rsidR="00967D0C" w:rsidRDefault="00470E2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DA661D" w14:paraId="7536CC4D" w14:textId="77777777" w:rsidTr="00DA661D">
        <w:tc>
          <w:tcPr>
            <w:tcW w:w="1510" w:type="dxa"/>
          </w:tcPr>
          <w:p w14:paraId="187B89E4" w14:textId="7338BA30" w:rsidR="00DA661D" w:rsidRDefault="00DA661D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510" w:type="dxa"/>
          </w:tcPr>
          <w:p w14:paraId="5665A0D5" w14:textId="10F74934" w:rsidR="00DA661D" w:rsidRDefault="00DA661D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584</w:t>
            </w:r>
          </w:p>
        </w:tc>
        <w:tc>
          <w:tcPr>
            <w:tcW w:w="1510" w:type="dxa"/>
          </w:tcPr>
          <w:p w14:paraId="13D7DD47" w14:textId="6EF91956" w:rsidR="00DA661D" w:rsidRDefault="00967D0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473</w:t>
            </w:r>
          </w:p>
        </w:tc>
        <w:tc>
          <w:tcPr>
            <w:tcW w:w="1510" w:type="dxa"/>
          </w:tcPr>
          <w:p w14:paraId="5B50B4B9" w14:textId="3BBD6A24" w:rsidR="00DA661D" w:rsidRDefault="00967D0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511" w:type="dxa"/>
          </w:tcPr>
          <w:p w14:paraId="4232056F" w14:textId="29B2384F" w:rsidR="00DA661D" w:rsidRDefault="00470E2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511" w:type="dxa"/>
          </w:tcPr>
          <w:p w14:paraId="14074034" w14:textId="66FDA879" w:rsidR="00DA661D" w:rsidRDefault="00470E2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DA661D" w14:paraId="6FC4FD5D" w14:textId="77777777" w:rsidTr="00DA661D">
        <w:tc>
          <w:tcPr>
            <w:tcW w:w="1510" w:type="dxa"/>
          </w:tcPr>
          <w:p w14:paraId="229070E4" w14:textId="624BC8BC" w:rsidR="00DA661D" w:rsidRDefault="00DA661D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510" w:type="dxa"/>
          </w:tcPr>
          <w:p w14:paraId="1A47A3D0" w14:textId="79C00397" w:rsidR="00DA661D" w:rsidRDefault="00DA661D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582</w:t>
            </w:r>
          </w:p>
        </w:tc>
        <w:tc>
          <w:tcPr>
            <w:tcW w:w="1510" w:type="dxa"/>
          </w:tcPr>
          <w:p w14:paraId="496412E4" w14:textId="654DFB4A" w:rsidR="00DA661D" w:rsidRDefault="00967D0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1510" w:type="dxa"/>
          </w:tcPr>
          <w:p w14:paraId="1F3594BD" w14:textId="6C9DC7CF" w:rsidR="00DA661D" w:rsidRDefault="00967D0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511" w:type="dxa"/>
          </w:tcPr>
          <w:p w14:paraId="6597DD51" w14:textId="35270278" w:rsidR="00DA661D" w:rsidRDefault="00470E2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511" w:type="dxa"/>
          </w:tcPr>
          <w:p w14:paraId="0E125148" w14:textId="2C350958" w:rsidR="00DA661D" w:rsidRDefault="00470E2C" w:rsidP="00452F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</w:tbl>
    <w:p w14:paraId="6084A2AB" w14:textId="77777777" w:rsidR="00452FB0" w:rsidRDefault="00452FB0" w:rsidP="00452FB0">
      <w:pPr>
        <w:jc w:val="both"/>
        <w:rPr>
          <w:rFonts w:ascii="Arial" w:hAnsi="Arial" w:cs="Arial"/>
          <w:sz w:val="22"/>
          <w:szCs w:val="22"/>
        </w:rPr>
      </w:pPr>
    </w:p>
    <w:p w14:paraId="233BA52A" w14:textId="2D5FB47B" w:rsidR="00967D0C" w:rsidRDefault="00967D0C" w:rsidP="00452F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Ad. 13. </w:t>
      </w:r>
      <w:r w:rsidR="00C0414B">
        <w:rPr>
          <w:rFonts w:ascii="Arial" w:hAnsi="Arial" w:cs="Arial"/>
          <w:sz w:val="22"/>
          <w:szCs w:val="22"/>
        </w:rPr>
        <w:t xml:space="preserve">Izolatka dla kotów to pomieszczenie, które służy do obserwacji kotów odizolowanych od tych przebywających w kociarni. Kot, który przebywa w izolatce może być np. chudy, więc trzeba zaobserwować dlaczego ma miejsce taka sytuacja. Do izolatki trafiają również koty, które są w złym stanie zdrowia. W izolatce może przebywać około 15 kotów.  </w:t>
      </w:r>
    </w:p>
    <w:p w14:paraId="06919CA6" w14:textId="77777777" w:rsidR="00AF7CD8" w:rsidRDefault="00AF7CD8" w:rsidP="001E6D7A">
      <w:pPr>
        <w:jc w:val="both"/>
        <w:rPr>
          <w:rFonts w:ascii="Arial" w:hAnsi="Arial" w:cs="Arial"/>
          <w:sz w:val="22"/>
          <w:szCs w:val="22"/>
        </w:rPr>
      </w:pPr>
    </w:p>
    <w:p w14:paraId="15682CC2" w14:textId="6B05B54E" w:rsidR="00AF7CD8" w:rsidRDefault="001C4D78" w:rsidP="001E6D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Odnosząc się do Pani </w:t>
      </w:r>
      <w:r w:rsidR="00443F6A">
        <w:rPr>
          <w:rFonts w:ascii="Arial" w:hAnsi="Arial" w:cs="Arial"/>
          <w:sz w:val="22"/>
          <w:szCs w:val="22"/>
        </w:rPr>
        <w:t xml:space="preserve">zarzutów zawartych w </w:t>
      </w:r>
      <w:r>
        <w:rPr>
          <w:rFonts w:ascii="Arial" w:hAnsi="Arial" w:cs="Arial"/>
          <w:sz w:val="22"/>
          <w:szCs w:val="22"/>
        </w:rPr>
        <w:t>po</w:t>
      </w:r>
      <w:r w:rsidR="006A3F2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sumowani</w:t>
      </w:r>
      <w:r w:rsidR="00443F6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interpelacji załączam </w:t>
      </w:r>
      <w:r w:rsidR="00443F6A">
        <w:rPr>
          <w:rFonts w:ascii="Arial" w:hAnsi="Arial" w:cs="Arial"/>
          <w:sz w:val="22"/>
          <w:szCs w:val="22"/>
        </w:rPr>
        <w:t>wyciągi                      z kart ew</w:t>
      </w:r>
      <w:r w:rsidR="00470E2C">
        <w:rPr>
          <w:rFonts w:ascii="Arial" w:hAnsi="Arial" w:cs="Arial"/>
          <w:sz w:val="22"/>
          <w:szCs w:val="22"/>
        </w:rPr>
        <w:t>idencyjnych wraz z wyjaśnieniami.</w:t>
      </w:r>
      <w:r w:rsidR="007B3672">
        <w:rPr>
          <w:rFonts w:ascii="Arial" w:hAnsi="Arial" w:cs="Arial"/>
          <w:sz w:val="22"/>
          <w:szCs w:val="22"/>
        </w:rPr>
        <w:t xml:space="preserve"> </w:t>
      </w:r>
    </w:p>
    <w:p w14:paraId="2B593C93" w14:textId="77777777" w:rsidR="007B3672" w:rsidRDefault="007B3672" w:rsidP="001E6D7A">
      <w:pPr>
        <w:jc w:val="both"/>
        <w:rPr>
          <w:rFonts w:ascii="Arial" w:hAnsi="Arial" w:cs="Arial"/>
          <w:sz w:val="22"/>
          <w:szCs w:val="22"/>
        </w:rPr>
      </w:pPr>
    </w:p>
    <w:p w14:paraId="5EBAD5EE" w14:textId="77777777" w:rsidR="00470E2C" w:rsidRDefault="00470E2C" w:rsidP="001E6D7A">
      <w:pPr>
        <w:jc w:val="both"/>
        <w:rPr>
          <w:rFonts w:ascii="Arial" w:hAnsi="Arial" w:cs="Arial"/>
          <w:sz w:val="22"/>
          <w:szCs w:val="22"/>
        </w:rPr>
      </w:pPr>
    </w:p>
    <w:p w14:paraId="6FCFE78B" w14:textId="77777777" w:rsidR="00946708" w:rsidRPr="001475AB" w:rsidRDefault="00946708" w:rsidP="000D0E50">
      <w:pPr>
        <w:jc w:val="both"/>
        <w:rPr>
          <w:rFonts w:ascii="Arial" w:hAnsi="Arial" w:cs="Arial"/>
          <w:sz w:val="24"/>
          <w:szCs w:val="24"/>
        </w:rPr>
      </w:pPr>
    </w:p>
    <w:p w14:paraId="15F2BC1B" w14:textId="77777777" w:rsidR="00B53AFF" w:rsidRPr="001475AB" w:rsidRDefault="00B53AFF" w:rsidP="000D0E50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 xml:space="preserve">      </w:t>
      </w:r>
    </w:p>
    <w:p w14:paraId="21503C8A" w14:textId="554776B1" w:rsidR="00061C56" w:rsidRPr="001475AB" w:rsidRDefault="00B5184C" w:rsidP="00147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E758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B5B83B3" w14:textId="77777777" w:rsidR="00C92FC3" w:rsidRPr="001475AB" w:rsidRDefault="00061C56" w:rsidP="00C92FC3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Akceptacja</w:t>
      </w:r>
      <w:r w:rsidR="00995160" w:rsidRPr="001475AB">
        <w:rPr>
          <w:rFonts w:ascii="Arial" w:hAnsi="Arial" w:cs="Arial"/>
          <w:sz w:val="24"/>
          <w:szCs w:val="24"/>
        </w:rPr>
        <w:t xml:space="preserve"> Wicep</w:t>
      </w:r>
      <w:r w:rsidRPr="001475AB">
        <w:rPr>
          <w:rFonts w:ascii="Arial" w:hAnsi="Arial" w:cs="Arial"/>
          <w:sz w:val="24"/>
          <w:szCs w:val="24"/>
        </w:rPr>
        <w:t>rezydenta</w:t>
      </w:r>
      <w:r w:rsidR="00C92FC3">
        <w:rPr>
          <w:rFonts w:ascii="Arial" w:hAnsi="Arial" w:cs="Arial"/>
          <w:sz w:val="24"/>
          <w:szCs w:val="24"/>
        </w:rPr>
        <w:br/>
        <w:t xml:space="preserve">Adam </w:t>
      </w:r>
      <w:proofErr w:type="spellStart"/>
      <w:r w:rsidR="00C92FC3">
        <w:rPr>
          <w:rFonts w:ascii="Arial" w:hAnsi="Arial" w:cs="Arial"/>
          <w:sz w:val="24"/>
          <w:szCs w:val="24"/>
        </w:rPr>
        <w:t>Karzewnik</w:t>
      </w:r>
      <w:proofErr w:type="spellEnd"/>
    </w:p>
    <w:p w14:paraId="1E2F3242" w14:textId="7BAAC416" w:rsidR="00061C56" w:rsidRDefault="00061C56" w:rsidP="001475AB">
      <w:pPr>
        <w:rPr>
          <w:rFonts w:ascii="Arial" w:hAnsi="Arial" w:cs="Arial"/>
          <w:sz w:val="24"/>
          <w:szCs w:val="24"/>
        </w:rPr>
      </w:pPr>
    </w:p>
    <w:p w14:paraId="61317B2C" w14:textId="424F3880" w:rsidR="00C31555" w:rsidRDefault="00C31555" w:rsidP="001475AB">
      <w:pPr>
        <w:rPr>
          <w:rFonts w:ascii="Arial" w:hAnsi="Arial" w:cs="Arial"/>
          <w:sz w:val="24"/>
          <w:szCs w:val="24"/>
        </w:rPr>
      </w:pPr>
    </w:p>
    <w:p w14:paraId="0BA34CAD" w14:textId="77777777" w:rsidR="00C31555" w:rsidRDefault="00C31555" w:rsidP="001475AB">
      <w:pPr>
        <w:rPr>
          <w:rFonts w:ascii="Arial" w:hAnsi="Arial" w:cs="Arial"/>
          <w:sz w:val="24"/>
          <w:szCs w:val="24"/>
        </w:rPr>
      </w:pPr>
    </w:p>
    <w:p w14:paraId="25FD2D95" w14:textId="317BF675" w:rsidR="00946708" w:rsidRPr="001475AB" w:rsidRDefault="00C31555" w:rsidP="00C31555">
      <w:pPr>
        <w:rPr>
          <w:rFonts w:ascii="Arial" w:hAnsi="Arial" w:cs="Arial"/>
          <w:sz w:val="24"/>
          <w:szCs w:val="24"/>
        </w:rPr>
      </w:pPr>
      <w:r w:rsidRPr="00C31555">
        <w:rPr>
          <w:rFonts w:ascii="Arial" w:hAnsi="Arial" w:cs="Arial"/>
          <w:sz w:val="24"/>
          <w:szCs w:val="24"/>
        </w:rPr>
        <w:t>Podpis osoby sporządzającej odpowiedź</w:t>
      </w:r>
    </w:p>
    <w:p w14:paraId="48F73A32" w14:textId="19AB39B9" w:rsidR="00B80538" w:rsidRPr="001475AB" w:rsidRDefault="00470E2C" w:rsidP="00946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Król</w:t>
      </w:r>
      <w:r w:rsidR="00863E8F">
        <w:rPr>
          <w:rFonts w:ascii="Arial" w:hAnsi="Arial" w:cs="Arial"/>
          <w:sz w:val="24"/>
          <w:szCs w:val="24"/>
        </w:rPr>
        <w:t xml:space="preserve"> - kierownik Referatu Gospodarki Komunalnej i Ochrony Środowiska</w:t>
      </w:r>
    </w:p>
    <w:p w14:paraId="0E18E6E6" w14:textId="01CC6780" w:rsidR="008860F4" w:rsidRPr="001475AB" w:rsidRDefault="008860F4" w:rsidP="001475AB">
      <w:pPr>
        <w:jc w:val="both"/>
        <w:rPr>
          <w:rFonts w:ascii="Arial" w:hAnsi="Arial" w:cs="Arial"/>
          <w:sz w:val="24"/>
          <w:szCs w:val="24"/>
        </w:rPr>
      </w:pPr>
    </w:p>
    <w:sectPr w:rsidR="008860F4" w:rsidRPr="001475AB" w:rsidSect="00AF7CD8"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9B7C6" w14:textId="77777777" w:rsidR="00F920DF" w:rsidRDefault="00F920DF" w:rsidP="00EF665E">
      <w:r>
        <w:separator/>
      </w:r>
    </w:p>
  </w:endnote>
  <w:endnote w:type="continuationSeparator" w:id="0">
    <w:p w14:paraId="1BDD0116" w14:textId="77777777" w:rsidR="00F920DF" w:rsidRDefault="00F920DF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F7E8B" w14:textId="77777777" w:rsidR="00F920DF" w:rsidRDefault="00F920DF" w:rsidP="00EF665E">
      <w:r>
        <w:separator/>
      </w:r>
    </w:p>
  </w:footnote>
  <w:footnote w:type="continuationSeparator" w:id="0">
    <w:p w14:paraId="6C497DA4" w14:textId="77777777" w:rsidR="00F920DF" w:rsidRDefault="00F920DF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A5D233A"/>
    <w:multiLevelType w:val="hybridMultilevel"/>
    <w:tmpl w:val="DB561388"/>
    <w:lvl w:ilvl="0" w:tplc="8E2CB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4B"/>
    <w:rsid w:val="00000DEE"/>
    <w:rsid w:val="0000358D"/>
    <w:rsid w:val="00061C56"/>
    <w:rsid w:val="00075F27"/>
    <w:rsid w:val="000839F0"/>
    <w:rsid w:val="00096E95"/>
    <w:rsid w:val="000A1C84"/>
    <w:rsid w:val="000A7873"/>
    <w:rsid w:val="000B010B"/>
    <w:rsid w:val="000D0E50"/>
    <w:rsid w:val="000D3765"/>
    <w:rsid w:val="00100542"/>
    <w:rsid w:val="00121DD6"/>
    <w:rsid w:val="00127D01"/>
    <w:rsid w:val="00130061"/>
    <w:rsid w:val="001343D3"/>
    <w:rsid w:val="00143CE6"/>
    <w:rsid w:val="001475AB"/>
    <w:rsid w:val="00163AAE"/>
    <w:rsid w:val="00167EC9"/>
    <w:rsid w:val="001B31D7"/>
    <w:rsid w:val="001C4D78"/>
    <w:rsid w:val="001E6D7A"/>
    <w:rsid w:val="001E7581"/>
    <w:rsid w:val="002919D2"/>
    <w:rsid w:val="002B043F"/>
    <w:rsid w:val="002C2A80"/>
    <w:rsid w:val="002C316A"/>
    <w:rsid w:val="002C41C6"/>
    <w:rsid w:val="002D451B"/>
    <w:rsid w:val="002F34C9"/>
    <w:rsid w:val="00335CC1"/>
    <w:rsid w:val="00367F6C"/>
    <w:rsid w:val="003A5F58"/>
    <w:rsid w:val="003C312D"/>
    <w:rsid w:val="00443F6A"/>
    <w:rsid w:val="00452FB0"/>
    <w:rsid w:val="00465427"/>
    <w:rsid w:val="00470E2C"/>
    <w:rsid w:val="004754F6"/>
    <w:rsid w:val="0048134B"/>
    <w:rsid w:val="0048328A"/>
    <w:rsid w:val="004A5D93"/>
    <w:rsid w:val="004C4195"/>
    <w:rsid w:val="004E2539"/>
    <w:rsid w:val="0051150D"/>
    <w:rsid w:val="005336C1"/>
    <w:rsid w:val="00591FE8"/>
    <w:rsid w:val="005A26AD"/>
    <w:rsid w:val="005A6A78"/>
    <w:rsid w:val="005D08B6"/>
    <w:rsid w:val="005D0939"/>
    <w:rsid w:val="005D7F66"/>
    <w:rsid w:val="005E24BA"/>
    <w:rsid w:val="005E3456"/>
    <w:rsid w:val="005F4844"/>
    <w:rsid w:val="006249DB"/>
    <w:rsid w:val="00631202"/>
    <w:rsid w:val="00651E4C"/>
    <w:rsid w:val="006665C4"/>
    <w:rsid w:val="00666F2A"/>
    <w:rsid w:val="00682C9E"/>
    <w:rsid w:val="006919B3"/>
    <w:rsid w:val="006A3F2F"/>
    <w:rsid w:val="006C19A9"/>
    <w:rsid w:val="00701C8F"/>
    <w:rsid w:val="00716844"/>
    <w:rsid w:val="00724880"/>
    <w:rsid w:val="007916DF"/>
    <w:rsid w:val="00793FDC"/>
    <w:rsid w:val="007B2A69"/>
    <w:rsid w:val="007B3672"/>
    <w:rsid w:val="007E3369"/>
    <w:rsid w:val="008221A1"/>
    <w:rsid w:val="00832A4B"/>
    <w:rsid w:val="00832E78"/>
    <w:rsid w:val="00863E8F"/>
    <w:rsid w:val="008731E8"/>
    <w:rsid w:val="008860F4"/>
    <w:rsid w:val="00890803"/>
    <w:rsid w:val="008B12BC"/>
    <w:rsid w:val="008B5CCE"/>
    <w:rsid w:val="00904F6C"/>
    <w:rsid w:val="00907CB8"/>
    <w:rsid w:val="00916627"/>
    <w:rsid w:val="009215BD"/>
    <w:rsid w:val="00944514"/>
    <w:rsid w:val="00946708"/>
    <w:rsid w:val="00947100"/>
    <w:rsid w:val="0094728C"/>
    <w:rsid w:val="00967D0C"/>
    <w:rsid w:val="00995160"/>
    <w:rsid w:val="00A17DAE"/>
    <w:rsid w:val="00A65FDB"/>
    <w:rsid w:val="00A72AF1"/>
    <w:rsid w:val="00AA4F64"/>
    <w:rsid w:val="00AA7363"/>
    <w:rsid w:val="00AC14AF"/>
    <w:rsid w:val="00AD53D6"/>
    <w:rsid w:val="00AF12AE"/>
    <w:rsid w:val="00AF43E8"/>
    <w:rsid w:val="00AF7CD8"/>
    <w:rsid w:val="00B01583"/>
    <w:rsid w:val="00B249C6"/>
    <w:rsid w:val="00B45785"/>
    <w:rsid w:val="00B5184C"/>
    <w:rsid w:val="00B53AFF"/>
    <w:rsid w:val="00B80538"/>
    <w:rsid w:val="00BA27E1"/>
    <w:rsid w:val="00BC6113"/>
    <w:rsid w:val="00BC64E3"/>
    <w:rsid w:val="00BD5D35"/>
    <w:rsid w:val="00BF5D74"/>
    <w:rsid w:val="00C0414B"/>
    <w:rsid w:val="00C04E23"/>
    <w:rsid w:val="00C31555"/>
    <w:rsid w:val="00C47EBF"/>
    <w:rsid w:val="00C80233"/>
    <w:rsid w:val="00C92FC3"/>
    <w:rsid w:val="00CB0783"/>
    <w:rsid w:val="00CF1F82"/>
    <w:rsid w:val="00CF2275"/>
    <w:rsid w:val="00D450B9"/>
    <w:rsid w:val="00DA661D"/>
    <w:rsid w:val="00DC53B1"/>
    <w:rsid w:val="00DD74D0"/>
    <w:rsid w:val="00DF3D95"/>
    <w:rsid w:val="00E057D0"/>
    <w:rsid w:val="00E461E2"/>
    <w:rsid w:val="00E62A0F"/>
    <w:rsid w:val="00EF19EF"/>
    <w:rsid w:val="00EF665E"/>
    <w:rsid w:val="00F22494"/>
    <w:rsid w:val="00F244DD"/>
    <w:rsid w:val="00F70234"/>
    <w:rsid w:val="00F805F2"/>
    <w:rsid w:val="00F920DF"/>
    <w:rsid w:val="00FA4FEE"/>
    <w:rsid w:val="00FA65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9DFC8E1C-26E4-43AB-BE55-8DA693D0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1300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7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A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5221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Jarzębska Monika</cp:lastModifiedBy>
  <cp:revision>2</cp:revision>
  <cp:lastPrinted>2020-12-08T10:55:00Z</cp:lastPrinted>
  <dcterms:created xsi:type="dcterms:W3CDTF">2020-12-14T13:50:00Z</dcterms:created>
  <dcterms:modified xsi:type="dcterms:W3CDTF">2020-12-14T13:50:00Z</dcterms:modified>
</cp:coreProperties>
</file>