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B831" w14:textId="77777777" w:rsidR="003A41C3" w:rsidRPr="003A41C3" w:rsidRDefault="003A41C3" w:rsidP="003A41C3">
      <w:pPr>
        <w:spacing w:after="259" w:line="256" w:lineRule="auto"/>
        <w:ind w:left="0" w:right="1" w:firstLine="0"/>
        <w:jc w:val="left"/>
        <w:rPr>
          <w:bCs/>
        </w:rPr>
      </w:pPr>
      <w:r w:rsidRPr="003A41C3">
        <w:rPr>
          <w:bCs/>
          <w:sz w:val="28"/>
        </w:rPr>
        <w:t>Odpowiedź na interpelację Radnej</w:t>
      </w:r>
    </w:p>
    <w:p w14:paraId="7AE9ED9D" w14:textId="77777777" w:rsidR="003A41C3" w:rsidRPr="003A41C3" w:rsidRDefault="003A41C3" w:rsidP="003A41C3">
      <w:pPr>
        <w:spacing w:after="276" w:line="240" w:lineRule="auto"/>
        <w:ind w:left="0" w:right="154" w:firstLine="0"/>
        <w:jc w:val="left"/>
        <w:rPr>
          <w:bCs/>
        </w:rPr>
      </w:pPr>
      <w:r w:rsidRPr="003A41C3">
        <w:rPr>
          <w:bCs/>
        </w:rPr>
        <w:t>Interpelacja Radnej Rady Miasta Piotrkowa Trybunalskiego Wiesławy Olejnik z dnia 19.01.2024 r.</w:t>
      </w:r>
    </w:p>
    <w:p w14:paraId="7B4D9A9D" w14:textId="77777777" w:rsidR="003A41C3" w:rsidRPr="003A41C3" w:rsidRDefault="003A41C3" w:rsidP="003A41C3">
      <w:pPr>
        <w:spacing w:after="276" w:line="240" w:lineRule="auto"/>
        <w:ind w:left="0" w:firstLine="0"/>
        <w:jc w:val="left"/>
        <w:rPr>
          <w:bCs/>
        </w:rPr>
      </w:pPr>
      <w:r w:rsidRPr="003A41C3">
        <w:rPr>
          <w:bCs/>
        </w:rPr>
        <w:t>Tytuł interpelacji: Interpelacja w sprawie rozliczenia kosztów utrzymania nieruchomości położonej przy ul. Sygietyńskiego 3 w Piotrkowie Trybunalskim za rok 2023.</w:t>
      </w:r>
    </w:p>
    <w:p w14:paraId="6B317F87" w14:textId="77777777" w:rsidR="003A41C3" w:rsidRPr="003A41C3" w:rsidRDefault="003A41C3" w:rsidP="003A41C3">
      <w:pPr>
        <w:spacing w:after="174"/>
        <w:ind w:left="-5"/>
        <w:jc w:val="left"/>
        <w:rPr>
          <w:bCs/>
        </w:rPr>
      </w:pPr>
      <w:r w:rsidRPr="003A41C3">
        <w:rPr>
          <w:bCs/>
        </w:rPr>
        <w:t>Treść odpowiedzi: W odpowiedzi na Pani interpelację w sprawie rozliczenia kosztów utrzymania nieruchomości położonej przy ul. Sygietyńskiego 3 w Piotrkowie Trybunalskim za rok 2023, na podstawie danych przekazanych przez Towarzystwo Budownictwa Społecznego Sp. z o.o. – zarządcę przedmiotowej nieruchomości informuję, że:</w:t>
      </w:r>
    </w:p>
    <w:p w14:paraId="64F6600B" w14:textId="77777777" w:rsidR="003A41C3" w:rsidRPr="003A41C3" w:rsidRDefault="003A41C3" w:rsidP="003A41C3">
      <w:pPr>
        <w:numPr>
          <w:ilvl w:val="0"/>
          <w:numId w:val="1"/>
        </w:numPr>
        <w:ind w:hanging="360"/>
        <w:jc w:val="left"/>
        <w:rPr>
          <w:bCs/>
        </w:rPr>
      </w:pPr>
      <w:r w:rsidRPr="003A41C3">
        <w:rPr>
          <w:bCs/>
        </w:rPr>
        <w:t>Przychody na przedmiotowej nieruchomości za rok 2023 z tytułu naliczonego czynszu stanowiły kwotę 156.171,18 zł.</w:t>
      </w:r>
    </w:p>
    <w:p w14:paraId="5ACF6587" w14:textId="77777777" w:rsidR="003A41C3" w:rsidRPr="003A41C3" w:rsidRDefault="003A41C3" w:rsidP="003A41C3">
      <w:pPr>
        <w:numPr>
          <w:ilvl w:val="0"/>
          <w:numId w:val="1"/>
        </w:numPr>
        <w:ind w:hanging="360"/>
        <w:jc w:val="left"/>
        <w:rPr>
          <w:bCs/>
        </w:rPr>
      </w:pPr>
      <w:r w:rsidRPr="003A41C3">
        <w:rPr>
          <w:bCs/>
        </w:rPr>
        <w:t>W 2023 r. Spółka TBS przeprowadziła remont – wymiana stabilizatora ciepłej wody oraz zaworów przelotowych na kwotę 10.143,26 zł.</w:t>
      </w:r>
    </w:p>
    <w:p w14:paraId="6176DC95" w14:textId="77777777" w:rsidR="003A41C3" w:rsidRPr="003A41C3" w:rsidRDefault="003A41C3" w:rsidP="003A41C3">
      <w:pPr>
        <w:numPr>
          <w:ilvl w:val="0"/>
          <w:numId w:val="1"/>
        </w:numPr>
        <w:ind w:hanging="360"/>
        <w:jc w:val="left"/>
        <w:rPr>
          <w:bCs/>
        </w:rPr>
      </w:pPr>
      <w:r w:rsidRPr="003A41C3">
        <w:rPr>
          <w:bCs/>
        </w:rPr>
        <w:t>W 2023 r. Miasto Piotrków Trybunalski nie poniosło kosztów na remont przedmiotowej nieruchomości.</w:t>
      </w:r>
    </w:p>
    <w:p w14:paraId="27F93997" w14:textId="77777777" w:rsidR="003A41C3" w:rsidRPr="003A41C3" w:rsidRDefault="003A41C3" w:rsidP="003A41C3">
      <w:pPr>
        <w:numPr>
          <w:ilvl w:val="0"/>
          <w:numId w:val="1"/>
        </w:numPr>
        <w:ind w:hanging="360"/>
        <w:jc w:val="left"/>
        <w:rPr>
          <w:bCs/>
        </w:rPr>
      </w:pPr>
      <w:r w:rsidRPr="003A41C3">
        <w:rPr>
          <w:bCs/>
        </w:rPr>
        <w:t>Koszty eksploatacji poniesione przez TBS Sp. z o.o. za 2023 r. wynosiły ogółem 91.297,36 zł (w tym koszt remontu z pkt.2). W załączeniu tabela przedstawiająca koszty  w układzie analitycznym - załącznik Nr 1.</w:t>
      </w:r>
    </w:p>
    <w:p w14:paraId="1F231A31" w14:textId="77777777" w:rsidR="003A41C3" w:rsidRPr="003A41C3" w:rsidRDefault="003A41C3" w:rsidP="003A41C3">
      <w:pPr>
        <w:numPr>
          <w:ilvl w:val="0"/>
          <w:numId w:val="1"/>
        </w:numPr>
        <w:ind w:hanging="360"/>
        <w:jc w:val="left"/>
        <w:rPr>
          <w:bCs/>
        </w:rPr>
      </w:pPr>
      <w:r w:rsidRPr="003A41C3">
        <w:rPr>
          <w:bCs/>
        </w:rPr>
        <w:t>Zadłużenie lokatorów w płatnościach na dzień 31.12.2023 r. mieści się w przedziale od 1 do 2  miesięcy i wynosi ogółem: 3.890,35 zł, w tym w rozbiciu:</w:t>
      </w:r>
    </w:p>
    <w:p w14:paraId="20B09674" w14:textId="181A1559" w:rsidR="003A41C3" w:rsidRPr="003A41C3" w:rsidRDefault="003A41C3" w:rsidP="003A41C3">
      <w:pPr>
        <w:pStyle w:val="Akapitzlist"/>
        <w:numPr>
          <w:ilvl w:val="0"/>
          <w:numId w:val="2"/>
        </w:numPr>
        <w:tabs>
          <w:tab w:val="center" w:pos="390"/>
          <w:tab w:val="center" w:pos="1640"/>
        </w:tabs>
        <w:jc w:val="left"/>
        <w:rPr>
          <w:bCs/>
        </w:rPr>
      </w:pPr>
      <w:r w:rsidRPr="003A41C3">
        <w:rPr>
          <w:bCs/>
        </w:rPr>
        <w:t>czynsz: 509,74 zł</w:t>
      </w:r>
    </w:p>
    <w:p w14:paraId="3188B303" w14:textId="61920875" w:rsidR="003A41C3" w:rsidRPr="003A41C3" w:rsidRDefault="003A41C3" w:rsidP="003A41C3">
      <w:pPr>
        <w:pStyle w:val="Akapitzlist"/>
        <w:numPr>
          <w:ilvl w:val="0"/>
          <w:numId w:val="2"/>
        </w:numPr>
        <w:tabs>
          <w:tab w:val="center" w:pos="390"/>
          <w:tab w:val="center" w:pos="2027"/>
        </w:tabs>
        <w:spacing w:after="17" w:line="256" w:lineRule="auto"/>
        <w:jc w:val="left"/>
        <w:rPr>
          <w:bCs/>
        </w:rPr>
      </w:pPr>
      <w:r w:rsidRPr="003A41C3">
        <w:rPr>
          <w:bCs/>
        </w:rPr>
        <w:t>świadczenia: 1.687,76 zł</w:t>
      </w:r>
    </w:p>
    <w:p w14:paraId="64484FE1" w14:textId="3439086D" w:rsidR="003A41C3" w:rsidRPr="003A41C3" w:rsidRDefault="003A41C3" w:rsidP="003A41C3">
      <w:pPr>
        <w:pStyle w:val="Akapitzlist"/>
        <w:numPr>
          <w:ilvl w:val="0"/>
          <w:numId w:val="2"/>
        </w:numPr>
        <w:tabs>
          <w:tab w:val="center" w:pos="390"/>
          <w:tab w:val="center" w:pos="2288"/>
        </w:tabs>
        <w:jc w:val="left"/>
        <w:rPr>
          <w:bCs/>
        </w:rPr>
      </w:pPr>
      <w:r w:rsidRPr="003A41C3">
        <w:rPr>
          <w:bCs/>
        </w:rPr>
        <w:t>odpady komunalne: 175,00 zł</w:t>
      </w:r>
    </w:p>
    <w:p w14:paraId="452D6A1E" w14:textId="77EDFCCD" w:rsidR="003A41C3" w:rsidRPr="003A41C3" w:rsidRDefault="003A41C3" w:rsidP="003A41C3">
      <w:pPr>
        <w:pStyle w:val="Akapitzlist"/>
        <w:numPr>
          <w:ilvl w:val="0"/>
          <w:numId w:val="2"/>
        </w:numPr>
        <w:tabs>
          <w:tab w:val="center" w:pos="390"/>
          <w:tab w:val="center" w:pos="1661"/>
        </w:tabs>
        <w:spacing w:after="1072"/>
        <w:jc w:val="left"/>
        <w:rPr>
          <w:bCs/>
        </w:rPr>
      </w:pPr>
      <w:r w:rsidRPr="003A41C3">
        <w:rPr>
          <w:bCs/>
        </w:rPr>
        <w:t>woda: 1.517,85 zł</w:t>
      </w:r>
    </w:p>
    <w:p w14:paraId="7A4CD2A4" w14:textId="77777777" w:rsidR="003A41C3" w:rsidRPr="003A41C3" w:rsidRDefault="003A41C3" w:rsidP="003A41C3">
      <w:pPr>
        <w:spacing w:after="0" w:line="256" w:lineRule="auto"/>
        <w:ind w:left="2655" w:firstLine="0"/>
        <w:jc w:val="left"/>
        <w:rPr>
          <w:bCs/>
        </w:rPr>
      </w:pPr>
      <w:r w:rsidRPr="003A41C3">
        <w:rPr>
          <w:bCs/>
        </w:rPr>
        <w:t xml:space="preserve">      </w:t>
      </w:r>
    </w:p>
    <w:p w14:paraId="7039E44C" w14:textId="77777777" w:rsidR="003A41C3" w:rsidRPr="003A41C3" w:rsidRDefault="003A41C3" w:rsidP="003A41C3">
      <w:pPr>
        <w:spacing w:after="224"/>
        <w:ind w:left="-5"/>
        <w:jc w:val="left"/>
        <w:rPr>
          <w:bCs/>
        </w:rPr>
      </w:pPr>
      <w:r w:rsidRPr="003A41C3">
        <w:rPr>
          <w:bCs/>
        </w:rPr>
        <w:t xml:space="preserve">Adam </w:t>
      </w:r>
      <w:proofErr w:type="spellStart"/>
      <w:r w:rsidRPr="003A41C3">
        <w:rPr>
          <w:bCs/>
        </w:rPr>
        <w:t>Karzewnik</w:t>
      </w:r>
      <w:proofErr w:type="spellEnd"/>
    </w:p>
    <w:p w14:paraId="77F82839" w14:textId="77777777" w:rsidR="003A41C3" w:rsidRPr="003A41C3" w:rsidRDefault="003A41C3" w:rsidP="003A41C3">
      <w:pPr>
        <w:spacing w:after="798"/>
        <w:ind w:left="-5"/>
        <w:jc w:val="left"/>
        <w:rPr>
          <w:bCs/>
        </w:rPr>
      </w:pPr>
      <w:r w:rsidRPr="003A41C3">
        <w:rPr>
          <w:bCs/>
        </w:rPr>
        <w:t>Podpis Wiceprezydenta</w:t>
      </w:r>
    </w:p>
    <w:p w14:paraId="062C1337" w14:textId="77777777" w:rsidR="003A41C3" w:rsidRPr="003A41C3" w:rsidRDefault="003A41C3" w:rsidP="003A41C3">
      <w:pPr>
        <w:spacing w:after="224"/>
        <w:ind w:left="-5"/>
        <w:jc w:val="left"/>
        <w:rPr>
          <w:bCs/>
        </w:rPr>
      </w:pPr>
      <w:r w:rsidRPr="003A41C3">
        <w:rPr>
          <w:bCs/>
        </w:rPr>
        <w:t>Barbara Król – Kierownik Referatu Gospodarki Komunalnej i Ochrony Środowiska</w:t>
      </w:r>
    </w:p>
    <w:p w14:paraId="63E9C5DF" w14:textId="77777777" w:rsidR="003A41C3" w:rsidRPr="003A41C3" w:rsidRDefault="003A41C3" w:rsidP="003A41C3">
      <w:pPr>
        <w:ind w:left="-5"/>
        <w:jc w:val="left"/>
        <w:rPr>
          <w:bCs/>
        </w:rPr>
      </w:pPr>
      <w:r w:rsidRPr="003A41C3">
        <w:rPr>
          <w:bCs/>
        </w:rPr>
        <w:t>Akceptacja kierownika komórki organizacyjnej</w:t>
      </w:r>
    </w:p>
    <w:p w14:paraId="48D1E7E6" w14:textId="77777777" w:rsidR="003727AB" w:rsidRPr="003A41C3" w:rsidRDefault="003727AB" w:rsidP="003A41C3">
      <w:pPr>
        <w:jc w:val="left"/>
        <w:rPr>
          <w:bCs/>
        </w:rPr>
      </w:pPr>
    </w:p>
    <w:sectPr w:rsidR="003727AB" w:rsidRPr="003A41C3" w:rsidSect="003A41C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85709"/>
    <w:multiLevelType w:val="hybridMultilevel"/>
    <w:tmpl w:val="88F6CECA"/>
    <w:lvl w:ilvl="0" w:tplc="97ECC812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FC8892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5222EE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70545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B328C8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818AA2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EB213A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848C26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C4013C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BCA2D0F"/>
    <w:multiLevelType w:val="hybridMultilevel"/>
    <w:tmpl w:val="98C0A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3803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6078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C3"/>
    <w:rsid w:val="003727AB"/>
    <w:rsid w:val="003A41C3"/>
    <w:rsid w:val="008C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A18B"/>
  <w15:chartTrackingRefBased/>
  <w15:docId w15:val="{F3BA4C3A-148A-4B2A-AC79-26938B59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1C3"/>
    <w:pPr>
      <w:spacing w:after="26" w:line="268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2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Kacprzyk Sylwester</dc:creator>
  <cp:keywords/>
  <dc:description/>
  <cp:lastModifiedBy>Kacprzyk Sylwester</cp:lastModifiedBy>
  <cp:revision>1</cp:revision>
  <dcterms:created xsi:type="dcterms:W3CDTF">2024-02-21T11:47:00Z</dcterms:created>
  <dcterms:modified xsi:type="dcterms:W3CDTF">2024-02-21T11:49:00Z</dcterms:modified>
</cp:coreProperties>
</file>