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26E4" w14:textId="77777777" w:rsidR="00B53AFF" w:rsidRPr="001475AB" w:rsidRDefault="00B53AFF">
      <w:pPr>
        <w:rPr>
          <w:rFonts w:ascii="Arial" w:hAnsi="Arial" w:cs="Arial"/>
        </w:rPr>
      </w:pPr>
    </w:p>
    <w:p w14:paraId="136FBDB1" w14:textId="262D8F36" w:rsidR="00B53AFF" w:rsidRPr="001475AB" w:rsidRDefault="00061C56" w:rsidP="001475AB">
      <w:pPr>
        <w:pStyle w:val="Nagwek1"/>
        <w:rPr>
          <w:rFonts w:cs="Arial"/>
          <w:b w:val="0"/>
          <w:bCs/>
        </w:rPr>
      </w:pPr>
      <w:r w:rsidRPr="001475AB">
        <w:rPr>
          <w:rFonts w:cs="Arial"/>
          <w:b w:val="0"/>
          <w:bCs/>
        </w:rPr>
        <w:t>Od</w:t>
      </w:r>
      <w:r w:rsidR="00EF7984">
        <w:rPr>
          <w:rFonts w:cs="Arial"/>
          <w:b w:val="0"/>
          <w:bCs/>
        </w:rPr>
        <w:t>powiedź na interpelację</w:t>
      </w:r>
      <w:r w:rsidR="00B80538" w:rsidRPr="001475AB">
        <w:rPr>
          <w:rFonts w:cs="Arial"/>
          <w:b w:val="0"/>
          <w:bCs/>
        </w:rPr>
        <w:t xml:space="preserve"> </w:t>
      </w:r>
      <w:r w:rsidR="00A65FDB" w:rsidRPr="001475AB">
        <w:rPr>
          <w:rFonts w:cs="Arial"/>
          <w:b w:val="0"/>
          <w:bCs/>
        </w:rPr>
        <w:t>Radnego</w:t>
      </w:r>
    </w:p>
    <w:p w14:paraId="237DD20C" w14:textId="6CBEF8D8" w:rsidR="001475AB" w:rsidRPr="001475AB" w:rsidRDefault="001475AB" w:rsidP="001475AB">
      <w:pPr>
        <w:rPr>
          <w:rFonts w:ascii="Arial" w:hAnsi="Arial" w:cs="Arial"/>
          <w:bCs/>
          <w:sz w:val="24"/>
          <w:szCs w:val="24"/>
        </w:rPr>
      </w:pPr>
      <w:r>
        <w:rPr>
          <w:rFonts w:ascii="Arial" w:hAnsi="Arial" w:cs="Arial"/>
          <w:b/>
          <w:sz w:val="28"/>
        </w:rPr>
        <w:br/>
      </w:r>
      <w:r>
        <w:rPr>
          <w:rFonts w:ascii="Arial" w:hAnsi="Arial" w:cs="Arial"/>
          <w:b/>
          <w:sz w:val="28"/>
        </w:rPr>
        <w:br/>
      </w:r>
      <w:r w:rsidRPr="001475AB">
        <w:rPr>
          <w:rFonts w:ascii="Arial" w:hAnsi="Arial" w:cs="Arial"/>
          <w:bCs/>
          <w:sz w:val="24"/>
          <w:szCs w:val="24"/>
        </w:rPr>
        <w:t>Interpelacja</w:t>
      </w:r>
      <w:r w:rsidR="00835F76">
        <w:rPr>
          <w:rFonts w:ascii="Arial" w:hAnsi="Arial" w:cs="Arial"/>
          <w:bCs/>
          <w:sz w:val="24"/>
          <w:szCs w:val="24"/>
        </w:rPr>
        <w:t xml:space="preserve"> Radnego Łukasza Janika </w:t>
      </w:r>
      <w:r w:rsidRPr="001475AB">
        <w:rPr>
          <w:rFonts w:ascii="Arial" w:hAnsi="Arial" w:cs="Arial"/>
          <w:bCs/>
          <w:sz w:val="24"/>
          <w:szCs w:val="24"/>
        </w:rPr>
        <w:t xml:space="preserve">z dnia </w:t>
      </w:r>
      <w:r w:rsidR="00835F76">
        <w:rPr>
          <w:rFonts w:ascii="Arial" w:hAnsi="Arial" w:cs="Arial"/>
          <w:bCs/>
          <w:sz w:val="24"/>
          <w:szCs w:val="24"/>
        </w:rPr>
        <w:t xml:space="preserve">15.12.2020 r. </w:t>
      </w:r>
    </w:p>
    <w:p w14:paraId="2CEFE868" w14:textId="77777777" w:rsidR="001475AB" w:rsidRPr="001475AB" w:rsidRDefault="001475AB" w:rsidP="001475AB">
      <w:pPr>
        <w:rPr>
          <w:rFonts w:ascii="Arial" w:hAnsi="Arial" w:cs="Arial"/>
          <w:bCs/>
          <w:sz w:val="24"/>
          <w:szCs w:val="24"/>
        </w:rPr>
      </w:pPr>
    </w:p>
    <w:p w14:paraId="0AB3B3A7" w14:textId="213696CA" w:rsidR="001475AB" w:rsidRPr="001475AB" w:rsidRDefault="001475AB" w:rsidP="001475AB">
      <w:pPr>
        <w:rPr>
          <w:rFonts w:ascii="Arial" w:hAnsi="Arial" w:cs="Arial"/>
          <w:bCs/>
          <w:sz w:val="24"/>
          <w:szCs w:val="24"/>
        </w:rPr>
      </w:pPr>
      <w:r w:rsidRPr="001475AB">
        <w:rPr>
          <w:rFonts w:ascii="Arial" w:hAnsi="Arial" w:cs="Arial"/>
          <w:bCs/>
          <w:sz w:val="24"/>
          <w:szCs w:val="24"/>
        </w:rPr>
        <w:t xml:space="preserve">Tytuł interpelacji: </w:t>
      </w:r>
      <w:r w:rsidR="00835F76">
        <w:rPr>
          <w:rFonts w:ascii="Arial" w:hAnsi="Arial" w:cs="Arial"/>
          <w:bCs/>
          <w:sz w:val="24"/>
          <w:szCs w:val="24"/>
        </w:rPr>
        <w:t>Interpelacja w sprawie braku podwyżek wynagrodzenia zasadniczego dla pracowników Miejskiego Ośrodka Pomocy Rodzinie w Piotrkowie Trybunalskim</w:t>
      </w:r>
    </w:p>
    <w:p w14:paraId="2AFFC74A" w14:textId="77777777" w:rsidR="001475AB" w:rsidRPr="001475AB" w:rsidRDefault="001475AB" w:rsidP="001475AB">
      <w:pPr>
        <w:rPr>
          <w:rFonts w:ascii="Arial" w:hAnsi="Arial" w:cs="Arial"/>
          <w:bCs/>
          <w:sz w:val="24"/>
          <w:szCs w:val="24"/>
        </w:rPr>
      </w:pPr>
    </w:p>
    <w:p w14:paraId="028D869B" w14:textId="77777777" w:rsidR="00835F76" w:rsidRDefault="001475AB" w:rsidP="00835F76">
      <w:pPr>
        <w:spacing w:line="480" w:lineRule="auto"/>
        <w:rPr>
          <w:rFonts w:ascii="Arial" w:hAnsi="Arial" w:cs="Arial"/>
          <w:bCs/>
          <w:sz w:val="24"/>
          <w:szCs w:val="24"/>
        </w:rPr>
      </w:pPr>
      <w:r w:rsidRPr="001475AB">
        <w:rPr>
          <w:rFonts w:ascii="Arial" w:hAnsi="Arial" w:cs="Arial"/>
          <w:bCs/>
          <w:sz w:val="24"/>
          <w:szCs w:val="24"/>
        </w:rPr>
        <w:t xml:space="preserve">Treść odpowiedzi: </w:t>
      </w:r>
    </w:p>
    <w:p w14:paraId="1CA86065" w14:textId="3E610CFA" w:rsidR="00835F76" w:rsidRPr="00835F76" w:rsidRDefault="00835F76" w:rsidP="00AE0E40">
      <w:pPr>
        <w:ind w:firstLine="708"/>
        <w:jc w:val="both"/>
        <w:rPr>
          <w:rFonts w:ascii="Arial" w:hAnsi="Arial" w:cs="Arial"/>
          <w:bCs/>
          <w:sz w:val="24"/>
          <w:szCs w:val="24"/>
        </w:rPr>
      </w:pPr>
      <w:r w:rsidRPr="00835F76">
        <w:rPr>
          <w:rFonts w:ascii="Arial" w:hAnsi="Arial" w:cs="Arial"/>
          <w:bCs/>
          <w:sz w:val="24"/>
          <w:szCs w:val="24"/>
        </w:rPr>
        <w:t xml:space="preserve">Na dzień dzisiejszy spór nie został rozwiązany. Toczą się mediacje prowadzone przez mediatora wyznaczonego przez </w:t>
      </w:r>
      <w:r w:rsidR="00F94603">
        <w:rPr>
          <w:rFonts w:ascii="Arial" w:hAnsi="Arial" w:cs="Arial"/>
          <w:bCs/>
          <w:sz w:val="24"/>
          <w:szCs w:val="24"/>
        </w:rPr>
        <w:t>Ministerstwo</w:t>
      </w:r>
      <w:r w:rsidRPr="00835F76">
        <w:rPr>
          <w:rFonts w:ascii="Arial" w:hAnsi="Arial" w:cs="Arial"/>
          <w:bCs/>
          <w:sz w:val="24"/>
          <w:szCs w:val="24"/>
        </w:rPr>
        <w:t>.</w:t>
      </w:r>
    </w:p>
    <w:p w14:paraId="0286D50B" w14:textId="14CE2DAF" w:rsidR="00835F76" w:rsidRPr="00835F76" w:rsidRDefault="00835F76" w:rsidP="00AE0E40">
      <w:pPr>
        <w:ind w:firstLine="708"/>
        <w:jc w:val="both"/>
        <w:rPr>
          <w:rFonts w:ascii="Arial" w:hAnsi="Arial" w:cs="Arial"/>
          <w:bCs/>
          <w:sz w:val="24"/>
          <w:szCs w:val="24"/>
        </w:rPr>
      </w:pPr>
      <w:r w:rsidRPr="00835F76">
        <w:rPr>
          <w:rFonts w:ascii="Arial" w:hAnsi="Arial" w:cs="Arial"/>
          <w:bCs/>
          <w:sz w:val="24"/>
          <w:szCs w:val="24"/>
        </w:rPr>
        <w:t xml:space="preserve">Pismem za dnia 29 października 2020 r. mediator został poinformowany </w:t>
      </w:r>
      <w:r>
        <w:rPr>
          <w:rFonts w:ascii="Arial" w:hAnsi="Arial" w:cs="Arial"/>
          <w:bCs/>
          <w:sz w:val="24"/>
          <w:szCs w:val="24"/>
        </w:rPr>
        <w:br/>
      </w:r>
      <w:r w:rsidRPr="00835F76">
        <w:rPr>
          <w:rFonts w:ascii="Arial" w:hAnsi="Arial" w:cs="Arial"/>
          <w:bCs/>
          <w:sz w:val="24"/>
          <w:szCs w:val="24"/>
        </w:rPr>
        <w:t>o możliwości kontynuowania mediacji z zachowaniem wszelkich środków bezpieczeństwa.</w:t>
      </w:r>
    </w:p>
    <w:p w14:paraId="09A7AC04" w14:textId="2A523DAF" w:rsidR="00835F76" w:rsidRDefault="00835F76" w:rsidP="00AE0E40">
      <w:pPr>
        <w:ind w:firstLine="708"/>
        <w:jc w:val="both"/>
        <w:rPr>
          <w:rFonts w:ascii="Arial" w:hAnsi="Arial" w:cs="Arial"/>
          <w:bCs/>
          <w:sz w:val="24"/>
          <w:szCs w:val="24"/>
        </w:rPr>
      </w:pPr>
      <w:r w:rsidRPr="00835F76">
        <w:rPr>
          <w:rFonts w:ascii="Arial" w:hAnsi="Arial" w:cs="Arial"/>
          <w:bCs/>
          <w:sz w:val="24"/>
          <w:szCs w:val="24"/>
        </w:rPr>
        <w:t>W przeprowadzonych rozmowach została</w:t>
      </w:r>
      <w:r w:rsidR="00F94603">
        <w:rPr>
          <w:rFonts w:ascii="Arial" w:hAnsi="Arial" w:cs="Arial"/>
          <w:bCs/>
          <w:sz w:val="24"/>
          <w:szCs w:val="24"/>
        </w:rPr>
        <w:t xml:space="preserve"> zaproponowana i</w:t>
      </w:r>
      <w:r w:rsidRPr="00835F76">
        <w:rPr>
          <w:rFonts w:ascii="Arial" w:hAnsi="Arial" w:cs="Arial"/>
          <w:bCs/>
          <w:sz w:val="24"/>
          <w:szCs w:val="24"/>
        </w:rPr>
        <w:t xml:space="preserve"> przyznana</w:t>
      </w:r>
      <w:r w:rsidR="00F94603">
        <w:rPr>
          <w:rFonts w:ascii="Arial" w:hAnsi="Arial" w:cs="Arial"/>
          <w:bCs/>
          <w:sz w:val="24"/>
          <w:szCs w:val="24"/>
        </w:rPr>
        <w:t>,</w:t>
      </w:r>
      <w:r w:rsidRPr="00835F76">
        <w:rPr>
          <w:rFonts w:ascii="Arial" w:hAnsi="Arial" w:cs="Arial"/>
          <w:bCs/>
          <w:sz w:val="24"/>
          <w:szCs w:val="24"/>
        </w:rPr>
        <w:t xml:space="preserve"> </w:t>
      </w:r>
      <w:r w:rsidR="00F94603">
        <w:rPr>
          <w:rFonts w:ascii="Arial" w:hAnsi="Arial" w:cs="Arial"/>
          <w:bCs/>
          <w:sz w:val="24"/>
          <w:szCs w:val="24"/>
        </w:rPr>
        <w:t>przez Dyrektora Miejskiego Ośrodka Pomocy Rodzinie</w:t>
      </w:r>
      <w:bookmarkStart w:id="0" w:name="_GoBack"/>
      <w:bookmarkEnd w:id="0"/>
      <w:r w:rsidR="00F94603">
        <w:rPr>
          <w:rFonts w:ascii="Arial" w:hAnsi="Arial" w:cs="Arial"/>
          <w:bCs/>
          <w:sz w:val="24"/>
          <w:szCs w:val="24"/>
        </w:rPr>
        <w:t xml:space="preserve"> </w:t>
      </w:r>
      <w:r w:rsidRPr="00835F76">
        <w:rPr>
          <w:rFonts w:ascii="Arial" w:hAnsi="Arial" w:cs="Arial"/>
          <w:bCs/>
          <w:sz w:val="24"/>
          <w:szCs w:val="24"/>
        </w:rPr>
        <w:t xml:space="preserve">w lutym 2020 roku podwyżka wynagrodzenia o 300,00 złotych na osobę oraz spełniono postulat podwyższenia ekwiwalentu za odzież do kwoty 850,00 złotych. Ponadto została zaakceptowana przez Prezydenta propozycja włączenia premii do wynagrodzenia zasadniczego na co zakładowa organizacja związkowa nie wyraziła zgody. </w:t>
      </w:r>
      <w:r w:rsidR="00AE0E40">
        <w:rPr>
          <w:rFonts w:ascii="Arial" w:hAnsi="Arial" w:cs="Arial"/>
          <w:bCs/>
          <w:sz w:val="24"/>
          <w:szCs w:val="24"/>
        </w:rPr>
        <w:t>Odnosząc się do Pana przykładów z Zawiercia, Świętochłowic i Rzeszowa</w:t>
      </w:r>
      <w:r w:rsidR="00280A9D">
        <w:rPr>
          <w:rFonts w:ascii="Arial" w:hAnsi="Arial" w:cs="Arial"/>
          <w:bCs/>
          <w:sz w:val="24"/>
          <w:szCs w:val="24"/>
        </w:rPr>
        <w:t xml:space="preserve"> informuje, iż skala podwyżek wynagrodzeń w 2020 roku dla tych pracowników w MOPS wynosiła 200-250 zł, a więc była  niższa niż w Piotrkowie Trybunalskim. </w:t>
      </w:r>
    </w:p>
    <w:p w14:paraId="0B9B28AF" w14:textId="62B2319D" w:rsidR="00280A9D" w:rsidRDefault="00280A9D" w:rsidP="00280A9D">
      <w:pPr>
        <w:jc w:val="both"/>
        <w:rPr>
          <w:rFonts w:ascii="Arial" w:hAnsi="Arial" w:cs="Arial"/>
          <w:bCs/>
          <w:sz w:val="24"/>
          <w:szCs w:val="24"/>
        </w:rPr>
      </w:pPr>
      <w:r>
        <w:rPr>
          <w:rFonts w:ascii="Arial" w:hAnsi="Arial" w:cs="Arial"/>
          <w:bCs/>
          <w:sz w:val="24"/>
          <w:szCs w:val="24"/>
        </w:rPr>
        <w:t>Przeciętne wynagrodzenie po podwyżkach w tych ośrodkach wynosi:</w:t>
      </w:r>
    </w:p>
    <w:p w14:paraId="6603D42B" w14:textId="77777777" w:rsidR="00280A9D" w:rsidRDefault="00280A9D" w:rsidP="00280A9D">
      <w:pPr>
        <w:jc w:val="both"/>
        <w:rPr>
          <w:rFonts w:ascii="Arial" w:hAnsi="Arial" w:cs="Arial"/>
          <w:bCs/>
          <w:sz w:val="24"/>
          <w:szCs w:val="24"/>
        </w:rPr>
      </w:pPr>
    </w:p>
    <w:tbl>
      <w:tblPr>
        <w:tblStyle w:val="Tabela-Siatka"/>
        <w:tblW w:w="0" w:type="auto"/>
        <w:tblLook w:val="04A0" w:firstRow="1" w:lastRow="0" w:firstColumn="1" w:lastColumn="0" w:noHBand="0" w:noVBand="1"/>
      </w:tblPr>
      <w:tblGrid>
        <w:gridCol w:w="1801"/>
        <w:gridCol w:w="1800"/>
        <w:gridCol w:w="1857"/>
        <w:gridCol w:w="1799"/>
        <w:gridCol w:w="1805"/>
      </w:tblGrid>
      <w:tr w:rsidR="00280A9D" w14:paraId="28BD5249" w14:textId="77777777" w:rsidTr="00280A9D">
        <w:tc>
          <w:tcPr>
            <w:tcW w:w="1812" w:type="dxa"/>
          </w:tcPr>
          <w:p w14:paraId="1C7AEB12" w14:textId="77777777" w:rsidR="00280A9D" w:rsidRDefault="00280A9D" w:rsidP="00280A9D">
            <w:pPr>
              <w:jc w:val="both"/>
              <w:rPr>
                <w:rFonts w:ascii="Arial" w:hAnsi="Arial" w:cs="Arial"/>
                <w:bCs/>
                <w:sz w:val="24"/>
                <w:szCs w:val="24"/>
              </w:rPr>
            </w:pPr>
          </w:p>
        </w:tc>
        <w:tc>
          <w:tcPr>
            <w:tcW w:w="1812" w:type="dxa"/>
          </w:tcPr>
          <w:p w14:paraId="3298D9FF" w14:textId="04CC8D51" w:rsidR="00280A9D" w:rsidRDefault="00280A9D" w:rsidP="00280A9D">
            <w:pPr>
              <w:jc w:val="both"/>
              <w:rPr>
                <w:rFonts w:ascii="Arial" w:hAnsi="Arial" w:cs="Arial"/>
                <w:bCs/>
                <w:sz w:val="24"/>
                <w:szCs w:val="24"/>
              </w:rPr>
            </w:pPr>
            <w:r>
              <w:rPr>
                <w:rFonts w:ascii="Arial" w:hAnsi="Arial" w:cs="Arial"/>
                <w:bCs/>
                <w:sz w:val="24"/>
                <w:szCs w:val="24"/>
              </w:rPr>
              <w:t>Zawiercie</w:t>
            </w:r>
          </w:p>
        </w:tc>
        <w:tc>
          <w:tcPr>
            <w:tcW w:w="1812" w:type="dxa"/>
          </w:tcPr>
          <w:p w14:paraId="2CEFD7EA" w14:textId="1EC2B7E1" w:rsidR="00280A9D" w:rsidRDefault="00280A9D" w:rsidP="00280A9D">
            <w:pPr>
              <w:jc w:val="both"/>
              <w:rPr>
                <w:rFonts w:ascii="Arial" w:hAnsi="Arial" w:cs="Arial"/>
                <w:bCs/>
                <w:sz w:val="24"/>
                <w:szCs w:val="24"/>
              </w:rPr>
            </w:pPr>
            <w:r>
              <w:rPr>
                <w:rFonts w:ascii="Arial" w:hAnsi="Arial" w:cs="Arial"/>
                <w:bCs/>
                <w:sz w:val="24"/>
                <w:szCs w:val="24"/>
              </w:rPr>
              <w:t>Świętochłowice</w:t>
            </w:r>
          </w:p>
        </w:tc>
        <w:tc>
          <w:tcPr>
            <w:tcW w:w="1813" w:type="dxa"/>
          </w:tcPr>
          <w:p w14:paraId="083B0267" w14:textId="2BED90EB" w:rsidR="00280A9D" w:rsidRDefault="00280A9D" w:rsidP="00280A9D">
            <w:pPr>
              <w:jc w:val="both"/>
              <w:rPr>
                <w:rFonts w:ascii="Arial" w:hAnsi="Arial" w:cs="Arial"/>
                <w:bCs/>
                <w:sz w:val="24"/>
                <w:szCs w:val="24"/>
              </w:rPr>
            </w:pPr>
            <w:r>
              <w:rPr>
                <w:rFonts w:ascii="Arial" w:hAnsi="Arial" w:cs="Arial"/>
                <w:bCs/>
                <w:sz w:val="24"/>
                <w:szCs w:val="24"/>
              </w:rPr>
              <w:t>Rzeszów</w:t>
            </w:r>
          </w:p>
        </w:tc>
        <w:tc>
          <w:tcPr>
            <w:tcW w:w="1813" w:type="dxa"/>
          </w:tcPr>
          <w:p w14:paraId="5AD7ED74" w14:textId="4A2AF8AB" w:rsidR="00280A9D" w:rsidRDefault="00280A9D" w:rsidP="00280A9D">
            <w:pPr>
              <w:jc w:val="both"/>
              <w:rPr>
                <w:rFonts w:ascii="Arial" w:hAnsi="Arial" w:cs="Arial"/>
                <w:bCs/>
                <w:sz w:val="24"/>
                <w:szCs w:val="24"/>
              </w:rPr>
            </w:pPr>
            <w:r>
              <w:rPr>
                <w:rFonts w:ascii="Arial" w:hAnsi="Arial" w:cs="Arial"/>
                <w:bCs/>
                <w:sz w:val="24"/>
                <w:szCs w:val="24"/>
              </w:rPr>
              <w:t>Piotrków Trybunalski</w:t>
            </w:r>
          </w:p>
        </w:tc>
      </w:tr>
      <w:tr w:rsidR="00280A9D" w14:paraId="15493BA2" w14:textId="77777777" w:rsidTr="00280A9D">
        <w:tc>
          <w:tcPr>
            <w:tcW w:w="1812" w:type="dxa"/>
          </w:tcPr>
          <w:p w14:paraId="020A7784" w14:textId="3EE25F7E" w:rsidR="00280A9D" w:rsidRDefault="00280A9D" w:rsidP="00280A9D">
            <w:pPr>
              <w:jc w:val="both"/>
              <w:rPr>
                <w:rFonts w:ascii="Arial" w:hAnsi="Arial" w:cs="Arial"/>
                <w:bCs/>
                <w:sz w:val="24"/>
                <w:szCs w:val="24"/>
              </w:rPr>
            </w:pPr>
            <w:r>
              <w:rPr>
                <w:rFonts w:ascii="Arial" w:hAnsi="Arial" w:cs="Arial"/>
                <w:bCs/>
                <w:sz w:val="24"/>
                <w:szCs w:val="24"/>
              </w:rPr>
              <w:t>Pracownik socjalny</w:t>
            </w:r>
          </w:p>
        </w:tc>
        <w:tc>
          <w:tcPr>
            <w:tcW w:w="1812" w:type="dxa"/>
          </w:tcPr>
          <w:p w14:paraId="6697B0E2" w14:textId="53DD579E" w:rsidR="00280A9D" w:rsidRDefault="00280A9D" w:rsidP="00280A9D">
            <w:pPr>
              <w:jc w:val="both"/>
              <w:rPr>
                <w:rFonts w:ascii="Arial" w:hAnsi="Arial" w:cs="Arial"/>
                <w:bCs/>
                <w:sz w:val="24"/>
                <w:szCs w:val="24"/>
              </w:rPr>
            </w:pPr>
            <w:r>
              <w:rPr>
                <w:rFonts w:ascii="Arial" w:hAnsi="Arial" w:cs="Arial"/>
                <w:bCs/>
                <w:sz w:val="24"/>
                <w:szCs w:val="24"/>
              </w:rPr>
              <w:t>3170,00</w:t>
            </w:r>
          </w:p>
        </w:tc>
        <w:tc>
          <w:tcPr>
            <w:tcW w:w="1812" w:type="dxa"/>
          </w:tcPr>
          <w:p w14:paraId="6469B534" w14:textId="117FCC45" w:rsidR="00280A9D" w:rsidRDefault="00280A9D" w:rsidP="00280A9D">
            <w:pPr>
              <w:jc w:val="both"/>
              <w:rPr>
                <w:rFonts w:ascii="Arial" w:hAnsi="Arial" w:cs="Arial"/>
                <w:bCs/>
                <w:sz w:val="24"/>
                <w:szCs w:val="24"/>
              </w:rPr>
            </w:pPr>
            <w:r>
              <w:rPr>
                <w:rFonts w:ascii="Arial" w:hAnsi="Arial" w:cs="Arial"/>
                <w:bCs/>
                <w:sz w:val="24"/>
                <w:szCs w:val="24"/>
              </w:rPr>
              <w:t>3105,00</w:t>
            </w:r>
          </w:p>
        </w:tc>
        <w:tc>
          <w:tcPr>
            <w:tcW w:w="1813" w:type="dxa"/>
          </w:tcPr>
          <w:p w14:paraId="46597A56" w14:textId="2B84966D" w:rsidR="00280A9D" w:rsidRDefault="00280A9D" w:rsidP="00280A9D">
            <w:pPr>
              <w:jc w:val="both"/>
              <w:rPr>
                <w:rFonts w:ascii="Arial" w:hAnsi="Arial" w:cs="Arial"/>
                <w:bCs/>
                <w:sz w:val="24"/>
                <w:szCs w:val="24"/>
              </w:rPr>
            </w:pPr>
            <w:r>
              <w:rPr>
                <w:rFonts w:ascii="Arial" w:hAnsi="Arial" w:cs="Arial"/>
                <w:bCs/>
                <w:sz w:val="24"/>
                <w:szCs w:val="24"/>
              </w:rPr>
              <w:t>2800</w:t>
            </w:r>
          </w:p>
        </w:tc>
        <w:tc>
          <w:tcPr>
            <w:tcW w:w="1813" w:type="dxa"/>
          </w:tcPr>
          <w:p w14:paraId="71B7050A" w14:textId="3D67A2F4" w:rsidR="00280A9D" w:rsidRDefault="00280A9D" w:rsidP="00280A9D">
            <w:pPr>
              <w:jc w:val="both"/>
              <w:rPr>
                <w:rFonts w:ascii="Arial" w:hAnsi="Arial" w:cs="Arial"/>
                <w:bCs/>
                <w:sz w:val="24"/>
                <w:szCs w:val="24"/>
              </w:rPr>
            </w:pPr>
            <w:r>
              <w:rPr>
                <w:rFonts w:ascii="Arial" w:hAnsi="Arial" w:cs="Arial"/>
                <w:bCs/>
                <w:sz w:val="24"/>
                <w:szCs w:val="24"/>
              </w:rPr>
              <w:t>3170,00</w:t>
            </w:r>
          </w:p>
        </w:tc>
      </w:tr>
      <w:tr w:rsidR="00280A9D" w14:paraId="48E7616F" w14:textId="77777777" w:rsidTr="00280A9D">
        <w:tc>
          <w:tcPr>
            <w:tcW w:w="1812" w:type="dxa"/>
          </w:tcPr>
          <w:p w14:paraId="35817804" w14:textId="0E1BA9E4" w:rsidR="00280A9D" w:rsidRDefault="00280A9D" w:rsidP="00280A9D">
            <w:pPr>
              <w:jc w:val="both"/>
              <w:rPr>
                <w:rFonts w:ascii="Arial" w:hAnsi="Arial" w:cs="Arial"/>
                <w:bCs/>
                <w:sz w:val="24"/>
                <w:szCs w:val="24"/>
              </w:rPr>
            </w:pPr>
            <w:r>
              <w:rPr>
                <w:rFonts w:ascii="Arial" w:hAnsi="Arial" w:cs="Arial"/>
                <w:bCs/>
                <w:sz w:val="24"/>
                <w:szCs w:val="24"/>
              </w:rPr>
              <w:t>Straszy pracownik pracy socjalnej</w:t>
            </w:r>
          </w:p>
        </w:tc>
        <w:tc>
          <w:tcPr>
            <w:tcW w:w="1812" w:type="dxa"/>
          </w:tcPr>
          <w:p w14:paraId="42E5F3D7" w14:textId="6D7736D7" w:rsidR="00280A9D" w:rsidRDefault="00280A9D" w:rsidP="00280A9D">
            <w:pPr>
              <w:jc w:val="both"/>
              <w:rPr>
                <w:rFonts w:ascii="Arial" w:hAnsi="Arial" w:cs="Arial"/>
                <w:bCs/>
                <w:sz w:val="24"/>
                <w:szCs w:val="24"/>
              </w:rPr>
            </w:pPr>
            <w:r>
              <w:rPr>
                <w:rFonts w:ascii="Arial" w:hAnsi="Arial" w:cs="Arial"/>
                <w:bCs/>
                <w:sz w:val="24"/>
                <w:szCs w:val="24"/>
              </w:rPr>
              <w:t>3570,00</w:t>
            </w:r>
          </w:p>
        </w:tc>
        <w:tc>
          <w:tcPr>
            <w:tcW w:w="1812" w:type="dxa"/>
          </w:tcPr>
          <w:p w14:paraId="0AC85667" w14:textId="6ECC37C6" w:rsidR="00280A9D" w:rsidRDefault="00280A9D" w:rsidP="00280A9D">
            <w:pPr>
              <w:jc w:val="both"/>
              <w:rPr>
                <w:rFonts w:ascii="Arial" w:hAnsi="Arial" w:cs="Arial"/>
                <w:bCs/>
                <w:sz w:val="24"/>
                <w:szCs w:val="24"/>
              </w:rPr>
            </w:pPr>
            <w:r>
              <w:rPr>
                <w:rFonts w:ascii="Arial" w:hAnsi="Arial" w:cs="Arial"/>
                <w:bCs/>
                <w:sz w:val="24"/>
                <w:szCs w:val="24"/>
              </w:rPr>
              <w:t>3366,00</w:t>
            </w:r>
          </w:p>
        </w:tc>
        <w:tc>
          <w:tcPr>
            <w:tcW w:w="1813" w:type="dxa"/>
          </w:tcPr>
          <w:p w14:paraId="42A751FC" w14:textId="188B91DE" w:rsidR="00280A9D" w:rsidRDefault="00280A9D" w:rsidP="00280A9D">
            <w:pPr>
              <w:jc w:val="both"/>
              <w:rPr>
                <w:rFonts w:ascii="Arial" w:hAnsi="Arial" w:cs="Arial"/>
                <w:bCs/>
                <w:sz w:val="24"/>
                <w:szCs w:val="24"/>
              </w:rPr>
            </w:pPr>
            <w:r>
              <w:rPr>
                <w:rFonts w:ascii="Arial" w:hAnsi="Arial" w:cs="Arial"/>
                <w:bCs/>
                <w:sz w:val="24"/>
                <w:szCs w:val="24"/>
              </w:rPr>
              <w:t>3289,00</w:t>
            </w:r>
          </w:p>
        </w:tc>
        <w:tc>
          <w:tcPr>
            <w:tcW w:w="1813" w:type="dxa"/>
          </w:tcPr>
          <w:p w14:paraId="2800FC9A" w14:textId="4BE3320C" w:rsidR="00280A9D" w:rsidRDefault="00280A9D" w:rsidP="00280A9D">
            <w:pPr>
              <w:jc w:val="both"/>
              <w:rPr>
                <w:rFonts w:ascii="Arial" w:hAnsi="Arial" w:cs="Arial"/>
                <w:bCs/>
                <w:sz w:val="24"/>
                <w:szCs w:val="24"/>
              </w:rPr>
            </w:pPr>
            <w:r>
              <w:rPr>
                <w:rFonts w:ascii="Arial" w:hAnsi="Arial" w:cs="Arial"/>
                <w:bCs/>
                <w:sz w:val="24"/>
                <w:szCs w:val="24"/>
              </w:rPr>
              <w:t>4000,00</w:t>
            </w:r>
          </w:p>
        </w:tc>
      </w:tr>
    </w:tbl>
    <w:p w14:paraId="69263391" w14:textId="77777777" w:rsidR="00280A9D" w:rsidRPr="00835F76" w:rsidRDefault="00280A9D" w:rsidP="00280A9D">
      <w:pPr>
        <w:jc w:val="both"/>
        <w:rPr>
          <w:rFonts w:ascii="Arial" w:hAnsi="Arial" w:cs="Arial"/>
          <w:bCs/>
          <w:sz w:val="24"/>
          <w:szCs w:val="24"/>
        </w:rPr>
      </w:pPr>
    </w:p>
    <w:p w14:paraId="007EBE98" w14:textId="2066AD45" w:rsidR="00835F76" w:rsidRPr="00835F76" w:rsidRDefault="00835F76" w:rsidP="00AE0E40">
      <w:pPr>
        <w:ind w:firstLine="708"/>
        <w:jc w:val="both"/>
        <w:rPr>
          <w:rFonts w:ascii="Arial" w:hAnsi="Arial" w:cs="Arial"/>
          <w:bCs/>
          <w:sz w:val="24"/>
          <w:szCs w:val="24"/>
        </w:rPr>
      </w:pPr>
      <w:r w:rsidRPr="00835F76">
        <w:rPr>
          <w:rFonts w:ascii="Arial" w:hAnsi="Arial" w:cs="Arial"/>
          <w:bCs/>
          <w:sz w:val="24"/>
          <w:szCs w:val="24"/>
        </w:rPr>
        <w:t xml:space="preserve">W okresie od marca 2019 roku do grudnia 2020 roku dokonano jednego przesunięcia w ilości etatów. W schemacie organizacyjnym dokonano zmiany polegającej na utworzeniu nowego zespołu w ramach dotychczasowego Zespołu Administracyjnego i Kadr. W ramach połączenia zadań kadrowo-płacowych </w:t>
      </w:r>
      <w:r>
        <w:rPr>
          <w:rFonts w:ascii="Arial" w:hAnsi="Arial" w:cs="Arial"/>
          <w:bCs/>
          <w:sz w:val="24"/>
          <w:szCs w:val="24"/>
        </w:rPr>
        <w:br/>
      </w:r>
      <w:r w:rsidRPr="00835F76">
        <w:rPr>
          <w:rFonts w:ascii="Arial" w:hAnsi="Arial" w:cs="Arial"/>
          <w:bCs/>
          <w:sz w:val="24"/>
          <w:szCs w:val="24"/>
        </w:rPr>
        <w:t>w dotychczasowym zespole zrezygnowano z jednego etatu, a następnie dokonano przesunięć dwóch etatów z Zespołu Księgowości.</w:t>
      </w:r>
    </w:p>
    <w:p w14:paraId="19628CFA" w14:textId="1E1204D0" w:rsidR="00835F76" w:rsidRDefault="00835F76" w:rsidP="00AE0E40">
      <w:pPr>
        <w:ind w:firstLine="708"/>
        <w:jc w:val="both"/>
        <w:rPr>
          <w:rFonts w:ascii="Arial" w:hAnsi="Arial" w:cs="Arial"/>
          <w:bCs/>
          <w:sz w:val="24"/>
          <w:szCs w:val="24"/>
        </w:rPr>
      </w:pPr>
      <w:r w:rsidRPr="00835F76">
        <w:rPr>
          <w:rFonts w:ascii="Arial" w:hAnsi="Arial" w:cs="Arial"/>
          <w:bCs/>
          <w:sz w:val="24"/>
          <w:szCs w:val="24"/>
        </w:rPr>
        <w:t>W MOPR zatrudnione są 4 osoby, które nabyły prawo do emerytury, w tym jedna osoba na ¾ etatu i jedna na ½ etatu.</w:t>
      </w:r>
    </w:p>
    <w:p w14:paraId="3A797A74" w14:textId="5928EB46" w:rsidR="00280A9D" w:rsidRPr="00280A9D" w:rsidRDefault="00280A9D" w:rsidP="00280A9D">
      <w:pPr>
        <w:ind w:firstLine="708"/>
        <w:jc w:val="both"/>
      </w:pPr>
      <w:r w:rsidRPr="00280A9D">
        <w:rPr>
          <w:rFonts w:ascii="Arial" w:hAnsi="Arial" w:cs="Arial"/>
          <w:bCs/>
          <w:sz w:val="24"/>
          <w:szCs w:val="24"/>
        </w:rPr>
        <w:t>W wyniku analizy zmian planu finansowego Miejskiego Ośrodka Pomocy Rodzinie w 2020 roku (do</w:t>
      </w:r>
      <w:r>
        <w:t xml:space="preserve"> </w:t>
      </w:r>
      <w:r w:rsidRPr="00280A9D">
        <w:rPr>
          <w:rFonts w:ascii="Arial" w:hAnsi="Arial" w:cs="Arial"/>
          <w:bCs/>
          <w:sz w:val="24"/>
          <w:szCs w:val="24"/>
        </w:rPr>
        <w:t>30.11.) ustalono, że zmniejszenie planu wydatków jednostki tj. uwolnienie środków finansowych przez</w:t>
      </w:r>
      <w:r>
        <w:t xml:space="preserve"> </w:t>
      </w:r>
      <w:r w:rsidRPr="00280A9D">
        <w:rPr>
          <w:rFonts w:ascii="Arial" w:hAnsi="Arial" w:cs="Arial"/>
          <w:bCs/>
          <w:sz w:val="24"/>
          <w:szCs w:val="24"/>
        </w:rPr>
        <w:t>Dyrektora jednostki nastąpiło na kwotę 1.682.192,00 zł. Szereg zmian budżetowych dotyczyło</w:t>
      </w:r>
      <w:r>
        <w:t xml:space="preserve"> </w:t>
      </w:r>
      <w:r w:rsidRPr="00280A9D">
        <w:rPr>
          <w:rFonts w:ascii="Arial" w:hAnsi="Arial" w:cs="Arial"/>
          <w:bCs/>
          <w:sz w:val="24"/>
          <w:szCs w:val="24"/>
        </w:rPr>
        <w:t xml:space="preserve">zwiększenia planu wydatków </w:t>
      </w:r>
      <w:r>
        <w:rPr>
          <w:rFonts w:ascii="Arial" w:hAnsi="Arial" w:cs="Arial"/>
          <w:bCs/>
          <w:sz w:val="24"/>
          <w:szCs w:val="24"/>
        </w:rPr>
        <w:br/>
      </w:r>
      <w:r w:rsidRPr="00280A9D">
        <w:rPr>
          <w:rFonts w:ascii="Arial" w:hAnsi="Arial" w:cs="Arial"/>
          <w:bCs/>
          <w:sz w:val="24"/>
          <w:szCs w:val="24"/>
        </w:rPr>
        <w:t>w związku z otrzymaniem dotacji celowych lub przesunięć między</w:t>
      </w:r>
      <w:r>
        <w:t xml:space="preserve"> </w:t>
      </w:r>
      <w:r w:rsidRPr="00280A9D">
        <w:rPr>
          <w:rFonts w:ascii="Arial" w:hAnsi="Arial" w:cs="Arial"/>
          <w:bCs/>
          <w:sz w:val="24"/>
          <w:szCs w:val="24"/>
        </w:rPr>
        <w:t>podziałkami klasyfikacji budżetowej.</w:t>
      </w:r>
    </w:p>
    <w:p w14:paraId="2A425248" w14:textId="5238A64B" w:rsidR="00280A9D" w:rsidRPr="00280A9D" w:rsidRDefault="00280A9D" w:rsidP="00280A9D">
      <w:pPr>
        <w:jc w:val="both"/>
        <w:rPr>
          <w:rFonts w:ascii="Arial" w:hAnsi="Arial" w:cs="Arial"/>
          <w:bCs/>
          <w:sz w:val="24"/>
          <w:szCs w:val="24"/>
        </w:rPr>
      </w:pPr>
      <w:r w:rsidRPr="00280A9D">
        <w:rPr>
          <w:rFonts w:ascii="Arial" w:hAnsi="Arial" w:cs="Arial"/>
          <w:bCs/>
          <w:sz w:val="24"/>
          <w:szCs w:val="24"/>
        </w:rPr>
        <w:lastRenderedPageBreak/>
        <w:t>Kwoty środków wynikające ze zmniejszenia planu wydatkó</w:t>
      </w:r>
      <w:r>
        <w:rPr>
          <w:rFonts w:ascii="Arial" w:hAnsi="Arial" w:cs="Arial"/>
          <w:bCs/>
          <w:sz w:val="24"/>
          <w:szCs w:val="24"/>
        </w:rPr>
        <w:t xml:space="preserve">w realizowanych przez jednostkę </w:t>
      </w:r>
      <w:r w:rsidRPr="00280A9D">
        <w:rPr>
          <w:rFonts w:ascii="Arial" w:hAnsi="Arial" w:cs="Arial"/>
          <w:bCs/>
          <w:sz w:val="24"/>
          <w:szCs w:val="24"/>
        </w:rPr>
        <w:t>organizacyjną (uwolnienie środków finansowych) mogą być przeznaczane na realizację innych zadań</w:t>
      </w:r>
      <w:r w:rsidR="00AB5F3B">
        <w:rPr>
          <w:rFonts w:ascii="Arial" w:hAnsi="Arial" w:cs="Arial"/>
          <w:bCs/>
          <w:sz w:val="24"/>
          <w:szCs w:val="24"/>
        </w:rPr>
        <w:t xml:space="preserve"> </w:t>
      </w:r>
      <w:r w:rsidRPr="00280A9D">
        <w:rPr>
          <w:rFonts w:ascii="Arial" w:hAnsi="Arial" w:cs="Arial"/>
          <w:bCs/>
          <w:sz w:val="24"/>
          <w:szCs w:val="24"/>
        </w:rPr>
        <w:t>własnych Miasta lub zmniejszenie wartości planowanego do zaciągnięcia na dany rok kredytu w związku</w:t>
      </w:r>
      <w:r w:rsidR="00AB5F3B">
        <w:rPr>
          <w:rFonts w:ascii="Arial" w:hAnsi="Arial" w:cs="Arial"/>
          <w:bCs/>
          <w:sz w:val="24"/>
          <w:szCs w:val="24"/>
        </w:rPr>
        <w:t xml:space="preserve"> </w:t>
      </w:r>
      <w:r w:rsidRPr="00280A9D">
        <w:rPr>
          <w:rFonts w:ascii="Arial" w:hAnsi="Arial" w:cs="Arial"/>
          <w:bCs/>
          <w:sz w:val="24"/>
          <w:szCs w:val="24"/>
        </w:rPr>
        <w:t>ze zmniejszeniem potrzeb kredytowych. Takie działanie jest jak najbardziej racjonalne z punktu</w:t>
      </w:r>
      <w:r w:rsidR="00AB5F3B">
        <w:rPr>
          <w:rFonts w:ascii="Arial" w:hAnsi="Arial" w:cs="Arial"/>
          <w:bCs/>
          <w:sz w:val="24"/>
          <w:szCs w:val="24"/>
        </w:rPr>
        <w:t xml:space="preserve"> </w:t>
      </w:r>
      <w:r w:rsidRPr="00280A9D">
        <w:rPr>
          <w:rFonts w:ascii="Arial" w:hAnsi="Arial" w:cs="Arial"/>
          <w:bCs/>
          <w:sz w:val="24"/>
          <w:szCs w:val="24"/>
        </w:rPr>
        <w:t>widzenia zasad gospodarowania środkami publicznymi.</w:t>
      </w:r>
    </w:p>
    <w:p w14:paraId="5DC326DD" w14:textId="2CA0B24C" w:rsidR="00835F76" w:rsidRPr="00835F76" w:rsidRDefault="00280A9D" w:rsidP="00280A9D">
      <w:pPr>
        <w:jc w:val="both"/>
        <w:rPr>
          <w:rFonts w:ascii="Arial" w:hAnsi="Arial" w:cs="Arial"/>
          <w:bCs/>
          <w:sz w:val="24"/>
          <w:szCs w:val="24"/>
        </w:rPr>
      </w:pPr>
      <w:r w:rsidRPr="00280A9D">
        <w:rPr>
          <w:rFonts w:ascii="Arial" w:hAnsi="Arial" w:cs="Arial"/>
          <w:bCs/>
          <w:sz w:val="24"/>
          <w:szCs w:val="24"/>
        </w:rPr>
        <w:t>Miasto nie przeznaczyło uwolnionych przez M</w:t>
      </w:r>
      <w:r w:rsidR="00AB5F3B">
        <w:rPr>
          <w:rFonts w:ascii="Arial" w:hAnsi="Arial" w:cs="Arial"/>
          <w:bCs/>
          <w:sz w:val="24"/>
          <w:szCs w:val="24"/>
        </w:rPr>
        <w:t xml:space="preserve">OPR środków na spłatę kredytów. </w:t>
      </w:r>
      <w:r w:rsidR="00AB5F3B">
        <w:rPr>
          <w:rFonts w:ascii="Arial" w:hAnsi="Arial" w:cs="Arial"/>
          <w:bCs/>
          <w:sz w:val="24"/>
          <w:szCs w:val="24"/>
        </w:rPr>
        <w:br/>
      </w:r>
      <w:r w:rsidRPr="00280A9D">
        <w:rPr>
          <w:rFonts w:ascii="Arial" w:hAnsi="Arial" w:cs="Arial"/>
          <w:bCs/>
          <w:sz w:val="24"/>
          <w:szCs w:val="24"/>
        </w:rPr>
        <w:t>W 2020 roku planowano zaciągnięcie kredytu w kwocie 55.400.000,00 zł, natomiast ostatecznie</w:t>
      </w:r>
      <w:r w:rsidR="00AB5F3B">
        <w:rPr>
          <w:rFonts w:ascii="Arial" w:hAnsi="Arial" w:cs="Arial"/>
          <w:bCs/>
          <w:sz w:val="24"/>
          <w:szCs w:val="24"/>
        </w:rPr>
        <w:t xml:space="preserve"> </w:t>
      </w:r>
      <w:r w:rsidRPr="00280A9D">
        <w:rPr>
          <w:rFonts w:ascii="Arial" w:hAnsi="Arial" w:cs="Arial"/>
          <w:bCs/>
          <w:sz w:val="24"/>
          <w:szCs w:val="24"/>
        </w:rPr>
        <w:t xml:space="preserve">zaciągnięto kredyt w wysokości 14.000.000,00 zł. Jeśli chodzi natomiast </w:t>
      </w:r>
      <w:r w:rsidR="00AB5F3B">
        <w:rPr>
          <w:rFonts w:ascii="Arial" w:hAnsi="Arial" w:cs="Arial"/>
          <w:bCs/>
          <w:sz w:val="24"/>
          <w:szCs w:val="24"/>
        </w:rPr>
        <w:br/>
      </w:r>
      <w:r w:rsidRPr="00280A9D">
        <w:rPr>
          <w:rFonts w:ascii="Arial" w:hAnsi="Arial" w:cs="Arial"/>
          <w:bCs/>
          <w:sz w:val="24"/>
          <w:szCs w:val="24"/>
        </w:rPr>
        <w:t>o spłaty zaciągniętych w latach</w:t>
      </w:r>
      <w:r w:rsidR="00AB5F3B">
        <w:rPr>
          <w:rFonts w:ascii="Arial" w:hAnsi="Arial" w:cs="Arial"/>
          <w:bCs/>
          <w:sz w:val="24"/>
          <w:szCs w:val="24"/>
        </w:rPr>
        <w:t xml:space="preserve"> </w:t>
      </w:r>
      <w:r w:rsidRPr="00280A9D">
        <w:rPr>
          <w:rFonts w:ascii="Arial" w:hAnsi="Arial" w:cs="Arial"/>
          <w:bCs/>
          <w:sz w:val="24"/>
          <w:szCs w:val="24"/>
        </w:rPr>
        <w:t>wcześniejszych kredytów to w uchwale budżetowej na 2020r. (Uchwała Nr XV/245/19 z 18.12.2019r.)</w:t>
      </w:r>
      <w:r w:rsidR="00AB5F3B">
        <w:rPr>
          <w:rFonts w:ascii="Arial" w:hAnsi="Arial" w:cs="Arial"/>
          <w:bCs/>
          <w:sz w:val="24"/>
          <w:szCs w:val="24"/>
        </w:rPr>
        <w:t xml:space="preserve"> </w:t>
      </w:r>
      <w:r w:rsidRPr="00280A9D">
        <w:rPr>
          <w:rFonts w:ascii="Arial" w:hAnsi="Arial" w:cs="Arial"/>
          <w:bCs/>
          <w:sz w:val="24"/>
          <w:szCs w:val="24"/>
        </w:rPr>
        <w:t>planowano spłatę kredytów i pożyczek (rozchody budżetu) w kwocie 14.496.901,26 zł, po zmianach</w:t>
      </w:r>
      <w:r w:rsidR="00AB5F3B">
        <w:rPr>
          <w:rFonts w:ascii="Arial" w:hAnsi="Arial" w:cs="Arial"/>
          <w:bCs/>
          <w:sz w:val="24"/>
          <w:szCs w:val="24"/>
        </w:rPr>
        <w:t xml:space="preserve"> </w:t>
      </w:r>
      <w:r w:rsidRPr="00280A9D">
        <w:rPr>
          <w:rFonts w:ascii="Arial" w:hAnsi="Arial" w:cs="Arial"/>
          <w:bCs/>
          <w:sz w:val="24"/>
          <w:szCs w:val="24"/>
        </w:rPr>
        <w:t xml:space="preserve">budżetu dokonanych </w:t>
      </w:r>
      <w:r w:rsidR="00AB5F3B">
        <w:rPr>
          <w:rFonts w:ascii="Arial" w:hAnsi="Arial" w:cs="Arial"/>
          <w:bCs/>
          <w:sz w:val="24"/>
          <w:szCs w:val="24"/>
        </w:rPr>
        <w:br/>
      </w:r>
      <w:r w:rsidRPr="00280A9D">
        <w:rPr>
          <w:rFonts w:ascii="Arial" w:hAnsi="Arial" w:cs="Arial"/>
          <w:bCs/>
          <w:sz w:val="24"/>
          <w:szCs w:val="24"/>
        </w:rPr>
        <w:t>w trakcie roku 2020 planowana kwota rozchodów wynosi 13.399.509,45 zł.</w:t>
      </w:r>
      <w:r w:rsidR="00AB5F3B">
        <w:rPr>
          <w:rFonts w:ascii="Arial" w:hAnsi="Arial" w:cs="Arial"/>
          <w:bCs/>
          <w:sz w:val="24"/>
          <w:szCs w:val="24"/>
        </w:rPr>
        <w:t xml:space="preserve"> </w:t>
      </w:r>
      <w:r w:rsidRPr="00280A9D">
        <w:rPr>
          <w:rFonts w:ascii="Arial" w:hAnsi="Arial" w:cs="Arial"/>
          <w:bCs/>
          <w:sz w:val="24"/>
          <w:szCs w:val="24"/>
        </w:rPr>
        <w:t xml:space="preserve">Zmiana wynika z umorzenia pożyczek </w:t>
      </w:r>
      <w:r w:rsidR="00B02E91">
        <w:rPr>
          <w:rFonts w:ascii="Arial" w:hAnsi="Arial" w:cs="Arial"/>
          <w:bCs/>
          <w:sz w:val="24"/>
          <w:szCs w:val="24"/>
        </w:rPr>
        <w:t>z</w:t>
      </w:r>
      <w:r w:rsidRPr="00280A9D">
        <w:rPr>
          <w:rFonts w:ascii="Arial" w:hAnsi="Arial" w:cs="Arial"/>
          <w:bCs/>
          <w:sz w:val="24"/>
          <w:szCs w:val="24"/>
        </w:rPr>
        <w:t xml:space="preserve"> Wojewódzki</w:t>
      </w:r>
      <w:r w:rsidR="00B02E91">
        <w:rPr>
          <w:rFonts w:ascii="Arial" w:hAnsi="Arial" w:cs="Arial"/>
          <w:bCs/>
          <w:sz w:val="24"/>
          <w:szCs w:val="24"/>
        </w:rPr>
        <w:t>ego</w:t>
      </w:r>
      <w:r w:rsidRPr="00280A9D">
        <w:rPr>
          <w:rFonts w:ascii="Arial" w:hAnsi="Arial" w:cs="Arial"/>
          <w:bCs/>
          <w:sz w:val="24"/>
          <w:szCs w:val="24"/>
        </w:rPr>
        <w:t xml:space="preserve"> Funduszu Ochrony Środowiska </w:t>
      </w:r>
      <w:r w:rsidR="00AB5F3B">
        <w:rPr>
          <w:rFonts w:ascii="Arial" w:hAnsi="Arial" w:cs="Arial"/>
          <w:bCs/>
          <w:sz w:val="24"/>
          <w:szCs w:val="24"/>
        </w:rPr>
        <w:br/>
      </w:r>
      <w:r w:rsidRPr="00280A9D">
        <w:rPr>
          <w:rFonts w:ascii="Arial" w:hAnsi="Arial" w:cs="Arial"/>
          <w:bCs/>
          <w:sz w:val="24"/>
          <w:szCs w:val="24"/>
        </w:rPr>
        <w:t>i Gospodarki</w:t>
      </w:r>
      <w:r w:rsidR="00AB5F3B">
        <w:rPr>
          <w:rFonts w:ascii="Arial" w:hAnsi="Arial" w:cs="Arial"/>
          <w:bCs/>
          <w:sz w:val="24"/>
          <w:szCs w:val="24"/>
        </w:rPr>
        <w:t xml:space="preserve"> </w:t>
      </w:r>
      <w:r w:rsidRPr="00280A9D">
        <w:rPr>
          <w:rFonts w:ascii="Arial" w:hAnsi="Arial" w:cs="Arial"/>
          <w:bCs/>
          <w:sz w:val="24"/>
          <w:szCs w:val="24"/>
        </w:rPr>
        <w:t xml:space="preserve">Wodnej lub warunkowego przesunięcia terminów spłaty pożyczek </w:t>
      </w:r>
      <w:r w:rsidR="00AB5F3B">
        <w:rPr>
          <w:rFonts w:ascii="Arial" w:hAnsi="Arial" w:cs="Arial"/>
          <w:bCs/>
          <w:sz w:val="24"/>
          <w:szCs w:val="24"/>
        </w:rPr>
        <w:br/>
      </w:r>
      <w:r w:rsidRPr="00280A9D">
        <w:rPr>
          <w:rFonts w:ascii="Arial" w:hAnsi="Arial" w:cs="Arial"/>
          <w:bCs/>
          <w:sz w:val="24"/>
          <w:szCs w:val="24"/>
        </w:rPr>
        <w:t>w związku z realizacją kolejnych</w:t>
      </w:r>
      <w:r w:rsidR="00AB5F3B">
        <w:rPr>
          <w:rFonts w:ascii="Arial" w:hAnsi="Arial" w:cs="Arial"/>
          <w:bCs/>
          <w:sz w:val="24"/>
          <w:szCs w:val="24"/>
        </w:rPr>
        <w:t xml:space="preserve"> </w:t>
      </w:r>
      <w:r w:rsidRPr="00280A9D">
        <w:rPr>
          <w:rFonts w:ascii="Arial" w:hAnsi="Arial" w:cs="Arial"/>
          <w:bCs/>
          <w:sz w:val="24"/>
          <w:szCs w:val="24"/>
        </w:rPr>
        <w:t>przedsięwzięć o charakterze ekologicznym. Planowane wartości spłaty wcześniej zaciągniętych</w:t>
      </w:r>
      <w:r w:rsidR="00AB5F3B">
        <w:rPr>
          <w:rFonts w:ascii="Arial" w:hAnsi="Arial" w:cs="Arial"/>
          <w:bCs/>
          <w:sz w:val="24"/>
          <w:szCs w:val="24"/>
        </w:rPr>
        <w:t xml:space="preserve"> </w:t>
      </w:r>
      <w:r w:rsidRPr="00280A9D">
        <w:rPr>
          <w:rFonts w:ascii="Arial" w:hAnsi="Arial" w:cs="Arial"/>
          <w:bCs/>
          <w:sz w:val="24"/>
          <w:szCs w:val="24"/>
        </w:rPr>
        <w:t>kredytów ujęte są w uchwale budżetowej i Miasto nie mogło przeznaczyć na spłatę wyższych kwot niż</w:t>
      </w:r>
      <w:r w:rsidR="00AB5F3B">
        <w:rPr>
          <w:rFonts w:ascii="Arial" w:hAnsi="Arial" w:cs="Arial"/>
          <w:bCs/>
          <w:sz w:val="24"/>
          <w:szCs w:val="24"/>
        </w:rPr>
        <w:t xml:space="preserve"> </w:t>
      </w:r>
      <w:r w:rsidRPr="00280A9D">
        <w:rPr>
          <w:rFonts w:ascii="Arial" w:hAnsi="Arial" w:cs="Arial"/>
          <w:bCs/>
          <w:sz w:val="24"/>
          <w:szCs w:val="24"/>
        </w:rPr>
        <w:t xml:space="preserve">wynikają </w:t>
      </w:r>
      <w:r w:rsidR="00AB5F3B">
        <w:rPr>
          <w:rFonts w:ascii="Arial" w:hAnsi="Arial" w:cs="Arial"/>
          <w:bCs/>
          <w:sz w:val="24"/>
          <w:szCs w:val="24"/>
        </w:rPr>
        <w:br/>
      </w:r>
      <w:r w:rsidRPr="00280A9D">
        <w:rPr>
          <w:rFonts w:ascii="Arial" w:hAnsi="Arial" w:cs="Arial"/>
          <w:bCs/>
          <w:sz w:val="24"/>
          <w:szCs w:val="24"/>
        </w:rPr>
        <w:t>z uchwały organu stanowiącego.</w:t>
      </w:r>
    </w:p>
    <w:p w14:paraId="74C70D24" w14:textId="344F63C0" w:rsidR="00835F76" w:rsidRPr="00835F76" w:rsidRDefault="00835F76" w:rsidP="00AE0E40">
      <w:pPr>
        <w:ind w:firstLine="708"/>
        <w:jc w:val="both"/>
        <w:rPr>
          <w:rFonts w:ascii="Arial" w:hAnsi="Arial" w:cs="Arial"/>
          <w:bCs/>
          <w:sz w:val="24"/>
          <w:szCs w:val="24"/>
        </w:rPr>
      </w:pPr>
      <w:r w:rsidRPr="00835F76">
        <w:rPr>
          <w:rFonts w:ascii="Arial" w:hAnsi="Arial" w:cs="Arial"/>
          <w:bCs/>
          <w:sz w:val="24"/>
          <w:szCs w:val="24"/>
        </w:rPr>
        <w:t xml:space="preserve">W MOPR nie mają miejsca przypadki likwidowania etatów i przypisywania obowiązków jednych pracowników innym pracownikom. </w:t>
      </w:r>
    </w:p>
    <w:p w14:paraId="40CCE001" w14:textId="1D518804" w:rsidR="00B53AFF" w:rsidRPr="001475AB" w:rsidRDefault="00835F76" w:rsidP="00AE0E40">
      <w:pPr>
        <w:ind w:firstLine="708"/>
        <w:jc w:val="both"/>
        <w:rPr>
          <w:rFonts w:ascii="Arial" w:hAnsi="Arial" w:cs="Arial"/>
          <w:bCs/>
          <w:sz w:val="24"/>
          <w:szCs w:val="24"/>
        </w:rPr>
      </w:pPr>
      <w:r w:rsidRPr="00835F76">
        <w:rPr>
          <w:rFonts w:ascii="Arial" w:hAnsi="Arial" w:cs="Arial"/>
          <w:bCs/>
          <w:sz w:val="24"/>
          <w:szCs w:val="24"/>
        </w:rPr>
        <w:t xml:space="preserve">Pracownicy MOPR zawsze, a nie tylko w okresie pandemii, pracują na rzecz naszych mieszkańców i za tę pracę otrzymują adekwatne wynagrodzenie. Jednocześnie wskazuję, że pracodawca MOPR wypłaca pracownikom w oparciu </w:t>
      </w:r>
      <w:r w:rsidR="00AE0E40">
        <w:rPr>
          <w:rFonts w:ascii="Arial" w:hAnsi="Arial" w:cs="Arial"/>
          <w:bCs/>
          <w:sz w:val="24"/>
          <w:szCs w:val="24"/>
        </w:rPr>
        <w:br/>
      </w:r>
      <w:r w:rsidRPr="00835F76">
        <w:rPr>
          <w:rFonts w:ascii="Arial" w:hAnsi="Arial" w:cs="Arial"/>
          <w:bCs/>
          <w:sz w:val="24"/>
          <w:szCs w:val="24"/>
        </w:rPr>
        <w:t xml:space="preserve">o regulamin wynagradzania wszystkie obligatoryjne składniki wynagrodzenia. Składniki fakultatywne mogą być przyznawane wyłącznie w sytuacjach przewidzianych </w:t>
      </w:r>
      <w:r w:rsidR="00AE0E40">
        <w:rPr>
          <w:rFonts w:ascii="Arial" w:hAnsi="Arial" w:cs="Arial"/>
          <w:bCs/>
          <w:sz w:val="24"/>
          <w:szCs w:val="24"/>
        </w:rPr>
        <w:br/>
      </w:r>
      <w:r w:rsidRPr="00835F76">
        <w:rPr>
          <w:rFonts w:ascii="Arial" w:hAnsi="Arial" w:cs="Arial"/>
          <w:bCs/>
          <w:sz w:val="24"/>
          <w:szCs w:val="24"/>
        </w:rPr>
        <w:t xml:space="preserve">w regulaminie wynagradzania.  </w:t>
      </w:r>
    </w:p>
    <w:p w14:paraId="1194F49B" w14:textId="77777777" w:rsidR="00EF665E" w:rsidRPr="001475AB" w:rsidRDefault="00B53AFF">
      <w:pPr>
        <w:rPr>
          <w:rFonts w:ascii="Arial" w:hAnsi="Arial" w:cs="Arial"/>
          <w:sz w:val="24"/>
          <w:szCs w:val="24"/>
        </w:rPr>
      </w:pPr>
      <w:r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p>
    <w:p w14:paraId="1A788BB8" w14:textId="77777777" w:rsidR="00946708" w:rsidRPr="001475AB" w:rsidRDefault="00946708">
      <w:pPr>
        <w:rPr>
          <w:rFonts w:ascii="Arial" w:hAnsi="Arial" w:cs="Arial"/>
          <w:sz w:val="24"/>
          <w:szCs w:val="24"/>
        </w:rPr>
      </w:pPr>
    </w:p>
    <w:p w14:paraId="1D94C82B" w14:textId="77777777" w:rsidR="00946708" w:rsidRPr="001475AB" w:rsidRDefault="00946708">
      <w:pPr>
        <w:rPr>
          <w:rFonts w:ascii="Arial" w:hAnsi="Arial" w:cs="Arial"/>
          <w:sz w:val="24"/>
          <w:szCs w:val="24"/>
        </w:rPr>
      </w:pPr>
    </w:p>
    <w:p w14:paraId="6FCFE78B" w14:textId="77777777" w:rsidR="00946708" w:rsidRPr="001475AB" w:rsidRDefault="00946708">
      <w:pPr>
        <w:rPr>
          <w:rFonts w:ascii="Arial" w:hAnsi="Arial" w:cs="Arial"/>
          <w:sz w:val="24"/>
          <w:szCs w:val="24"/>
        </w:rPr>
      </w:pPr>
    </w:p>
    <w:p w14:paraId="15F2BC1B" w14:textId="77777777" w:rsidR="00B53AFF" w:rsidRPr="001475AB" w:rsidRDefault="00B53AFF">
      <w:pPr>
        <w:rPr>
          <w:rFonts w:ascii="Arial" w:hAnsi="Arial" w:cs="Arial"/>
          <w:sz w:val="24"/>
          <w:szCs w:val="24"/>
        </w:rPr>
      </w:pPr>
      <w:r w:rsidRPr="001475AB">
        <w:rPr>
          <w:rFonts w:ascii="Arial" w:hAnsi="Arial" w:cs="Arial"/>
          <w:sz w:val="24"/>
          <w:szCs w:val="24"/>
        </w:rPr>
        <w:tab/>
      </w:r>
      <w:r w:rsidRPr="001475AB">
        <w:rPr>
          <w:rFonts w:ascii="Arial" w:hAnsi="Arial" w:cs="Arial"/>
          <w:sz w:val="24"/>
          <w:szCs w:val="24"/>
        </w:rPr>
        <w:tab/>
      </w:r>
      <w:r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Pr="001475AB">
        <w:rPr>
          <w:rFonts w:ascii="Arial" w:hAnsi="Arial" w:cs="Arial"/>
          <w:sz w:val="24"/>
          <w:szCs w:val="24"/>
        </w:rPr>
        <w:t xml:space="preserve">      </w:t>
      </w:r>
    </w:p>
    <w:p w14:paraId="1C270DFC" w14:textId="15B2F1B4" w:rsidR="00061C56" w:rsidRPr="001475AB" w:rsidRDefault="00061C56" w:rsidP="001475AB">
      <w:pPr>
        <w:rPr>
          <w:rFonts w:ascii="Arial" w:hAnsi="Arial" w:cs="Arial"/>
          <w:sz w:val="24"/>
          <w:szCs w:val="24"/>
        </w:rPr>
      </w:pPr>
      <w:r w:rsidRPr="001475AB">
        <w:rPr>
          <w:rFonts w:ascii="Arial" w:hAnsi="Arial" w:cs="Arial"/>
          <w:sz w:val="24"/>
          <w:szCs w:val="24"/>
        </w:rPr>
        <w:t>Imię</w:t>
      </w:r>
      <w:r w:rsidR="001475AB">
        <w:rPr>
          <w:rFonts w:ascii="Arial" w:hAnsi="Arial" w:cs="Arial"/>
          <w:sz w:val="24"/>
          <w:szCs w:val="24"/>
        </w:rPr>
        <w:t xml:space="preserve"> </w:t>
      </w:r>
      <w:r w:rsidRPr="001475AB">
        <w:rPr>
          <w:rFonts w:ascii="Arial" w:hAnsi="Arial" w:cs="Arial"/>
          <w:sz w:val="24"/>
          <w:szCs w:val="24"/>
        </w:rPr>
        <w:t xml:space="preserve">i </w:t>
      </w:r>
      <w:r w:rsidR="001475AB">
        <w:rPr>
          <w:rFonts w:ascii="Arial" w:hAnsi="Arial" w:cs="Arial"/>
          <w:sz w:val="24"/>
          <w:szCs w:val="24"/>
        </w:rPr>
        <w:t>n</w:t>
      </w:r>
      <w:r w:rsidRPr="001475AB">
        <w:rPr>
          <w:rFonts w:ascii="Arial" w:hAnsi="Arial" w:cs="Arial"/>
          <w:sz w:val="24"/>
          <w:szCs w:val="24"/>
        </w:rPr>
        <w:t xml:space="preserve">azwisko </w:t>
      </w:r>
      <w:r w:rsidR="00995160" w:rsidRPr="001475AB">
        <w:rPr>
          <w:rFonts w:ascii="Arial" w:hAnsi="Arial" w:cs="Arial"/>
          <w:sz w:val="24"/>
          <w:szCs w:val="24"/>
        </w:rPr>
        <w:t>Wiceprezydenta</w:t>
      </w:r>
    </w:p>
    <w:p w14:paraId="1AD5964E" w14:textId="77777777" w:rsidR="00835F76" w:rsidRDefault="00835F76" w:rsidP="001475AB">
      <w:pPr>
        <w:rPr>
          <w:rFonts w:ascii="Arial" w:hAnsi="Arial" w:cs="Arial"/>
          <w:sz w:val="24"/>
          <w:szCs w:val="24"/>
        </w:rPr>
      </w:pPr>
    </w:p>
    <w:p w14:paraId="21503C8A" w14:textId="0E9F0244" w:rsidR="00061C56" w:rsidRPr="001475AB" w:rsidRDefault="00280A9D" w:rsidP="001475AB">
      <w:pPr>
        <w:rPr>
          <w:rFonts w:ascii="Arial" w:hAnsi="Arial" w:cs="Arial"/>
          <w:sz w:val="24"/>
          <w:szCs w:val="24"/>
        </w:rPr>
      </w:pPr>
      <w:r>
        <w:rPr>
          <w:rFonts w:ascii="Arial" w:hAnsi="Arial" w:cs="Arial"/>
          <w:sz w:val="24"/>
          <w:szCs w:val="24"/>
        </w:rPr>
        <w:t>Andrzej Kacperek</w:t>
      </w:r>
    </w:p>
    <w:p w14:paraId="1E2F3242" w14:textId="166A44A5" w:rsidR="00061C56" w:rsidRPr="001475AB" w:rsidRDefault="00061C56" w:rsidP="001475AB">
      <w:pPr>
        <w:rPr>
          <w:rFonts w:ascii="Arial" w:hAnsi="Arial" w:cs="Arial"/>
          <w:sz w:val="24"/>
          <w:szCs w:val="24"/>
        </w:rPr>
      </w:pPr>
      <w:r w:rsidRPr="001475AB">
        <w:rPr>
          <w:rFonts w:ascii="Arial" w:hAnsi="Arial" w:cs="Arial"/>
          <w:sz w:val="24"/>
          <w:szCs w:val="24"/>
        </w:rPr>
        <w:t>Akceptacja</w:t>
      </w:r>
      <w:r w:rsidR="00995160" w:rsidRPr="001475AB">
        <w:rPr>
          <w:rFonts w:ascii="Arial" w:hAnsi="Arial" w:cs="Arial"/>
          <w:sz w:val="24"/>
          <w:szCs w:val="24"/>
        </w:rPr>
        <w:t xml:space="preserve"> Wicep</w:t>
      </w:r>
      <w:r w:rsidRPr="001475AB">
        <w:rPr>
          <w:rFonts w:ascii="Arial" w:hAnsi="Arial" w:cs="Arial"/>
          <w:sz w:val="24"/>
          <w:szCs w:val="24"/>
        </w:rPr>
        <w:t>rezydenta</w:t>
      </w:r>
    </w:p>
    <w:p w14:paraId="13A7C354" w14:textId="77777777" w:rsidR="00946708" w:rsidRPr="001475AB" w:rsidRDefault="00946708" w:rsidP="00061C56">
      <w:pPr>
        <w:ind w:left="3540" w:firstLine="708"/>
        <w:jc w:val="center"/>
        <w:rPr>
          <w:rFonts w:ascii="Arial" w:hAnsi="Arial" w:cs="Arial"/>
          <w:sz w:val="24"/>
          <w:szCs w:val="24"/>
        </w:rPr>
      </w:pPr>
    </w:p>
    <w:p w14:paraId="25FD2D95" w14:textId="77777777" w:rsidR="00946708" w:rsidRPr="001475AB" w:rsidRDefault="00946708" w:rsidP="00061C56">
      <w:pPr>
        <w:ind w:left="3540" w:firstLine="708"/>
        <w:jc w:val="center"/>
        <w:rPr>
          <w:rFonts w:ascii="Arial" w:hAnsi="Arial" w:cs="Arial"/>
          <w:sz w:val="24"/>
          <w:szCs w:val="24"/>
        </w:rPr>
      </w:pPr>
    </w:p>
    <w:p w14:paraId="7CCA6C37" w14:textId="77777777" w:rsidR="00946708" w:rsidRPr="001475AB" w:rsidRDefault="00946708" w:rsidP="00061C56">
      <w:pPr>
        <w:ind w:left="3540" w:firstLine="708"/>
        <w:jc w:val="center"/>
        <w:rPr>
          <w:rFonts w:ascii="Arial" w:hAnsi="Arial" w:cs="Arial"/>
          <w:sz w:val="24"/>
          <w:szCs w:val="24"/>
        </w:rPr>
      </w:pPr>
    </w:p>
    <w:p w14:paraId="7CA677EE" w14:textId="77777777" w:rsidR="00946708" w:rsidRPr="001475AB" w:rsidRDefault="00946708" w:rsidP="00061C56">
      <w:pPr>
        <w:ind w:left="3540" w:firstLine="708"/>
        <w:jc w:val="center"/>
        <w:rPr>
          <w:rFonts w:ascii="Arial" w:hAnsi="Arial" w:cs="Arial"/>
          <w:sz w:val="24"/>
          <w:szCs w:val="24"/>
        </w:rPr>
      </w:pPr>
    </w:p>
    <w:p w14:paraId="1953F2B4" w14:textId="77777777" w:rsidR="00946708" w:rsidRPr="001475AB" w:rsidRDefault="00946708" w:rsidP="00061C56">
      <w:pPr>
        <w:ind w:left="3540" w:firstLine="708"/>
        <w:jc w:val="center"/>
        <w:rPr>
          <w:rFonts w:ascii="Arial" w:hAnsi="Arial" w:cs="Arial"/>
          <w:sz w:val="24"/>
          <w:szCs w:val="24"/>
        </w:rPr>
      </w:pPr>
    </w:p>
    <w:p w14:paraId="4492A600" w14:textId="77777777" w:rsidR="00946708" w:rsidRPr="001475AB" w:rsidRDefault="00946708" w:rsidP="00061C56">
      <w:pPr>
        <w:ind w:left="3540" w:firstLine="708"/>
        <w:jc w:val="center"/>
        <w:rPr>
          <w:rFonts w:ascii="Arial" w:hAnsi="Arial" w:cs="Arial"/>
          <w:sz w:val="24"/>
          <w:szCs w:val="24"/>
        </w:rPr>
      </w:pPr>
    </w:p>
    <w:p w14:paraId="48F73A32" w14:textId="77777777" w:rsidR="00B80538" w:rsidRPr="001475AB" w:rsidRDefault="00B80538" w:rsidP="00946708">
      <w:pPr>
        <w:rPr>
          <w:rFonts w:ascii="Arial" w:hAnsi="Arial" w:cs="Arial"/>
          <w:sz w:val="24"/>
          <w:szCs w:val="24"/>
        </w:rPr>
      </w:pPr>
    </w:p>
    <w:p w14:paraId="4F807518" w14:textId="77777777" w:rsidR="00946708" w:rsidRPr="001475AB" w:rsidRDefault="00946708" w:rsidP="001475AB">
      <w:pPr>
        <w:jc w:val="both"/>
        <w:rPr>
          <w:rFonts w:ascii="Arial" w:hAnsi="Arial" w:cs="Arial"/>
          <w:sz w:val="24"/>
          <w:szCs w:val="24"/>
        </w:rPr>
      </w:pPr>
      <w:r w:rsidRPr="001475AB">
        <w:rPr>
          <w:rFonts w:ascii="Arial" w:hAnsi="Arial" w:cs="Arial"/>
          <w:sz w:val="24"/>
          <w:szCs w:val="24"/>
        </w:rPr>
        <w:t>Imię i Nazwisko Kierownika Komórki Organizacyjnej</w:t>
      </w:r>
    </w:p>
    <w:p w14:paraId="755D6416" w14:textId="77777777" w:rsidR="00835F76" w:rsidRDefault="00835F76" w:rsidP="001475AB">
      <w:pPr>
        <w:jc w:val="both"/>
        <w:rPr>
          <w:rFonts w:ascii="Arial" w:hAnsi="Arial" w:cs="Arial"/>
          <w:sz w:val="24"/>
          <w:szCs w:val="24"/>
        </w:rPr>
      </w:pPr>
    </w:p>
    <w:p w14:paraId="0E18E6E6" w14:textId="03BD8616" w:rsidR="008860F4" w:rsidRPr="001475AB" w:rsidRDefault="00280A9D" w:rsidP="001475AB">
      <w:pPr>
        <w:jc w:val="both"/>
        <w:rPr>
          <w:rFonts w:ascii="Arial" w:hAnsi="Arial" w:cs="Arial"/>
          <w:sz w:val="24"/>
          <w:szCs w:val="24"/>
        </w:rPr>
      </w:pPr>
      <w:r>
        <w:rPr>
          <w:rFonts w:ascii="Arial" w:hAnsi="Arial" w:cs="Arial"/>
          <w:sz w:val="24"/>
          <w:szCs w:val="24"/>
        </w:rPr>
        <w:t>Grzegorz Janowski</w:t>
      </w:r>
    </w:p>
    <w:p w14:paraId="6C5EBC7A" w14:textId="16418BCF" w:rsidR="00946708" w:rsidRPr="001475AB" w:rsidRDefault="00946708" w:rsidP="001475AB">
      <w:pPr>
        <w:jc w:val="both"/>
        <w:rPr>
          <w:rFonts w:ascii="Arial" w:hAnsi="Arial" w:cs="Arial"/>
          <w:sz w:val="24"/>
          <w:szCs w:val="24"/>
        </w:rPr>
      </w:pPr>
      <w:r w:rsidRPr="001475AB">
        <w:rPr>
          <w:rFonts w:ascii="Arial" w:hAnsi="Arial" w:cs="Arial"/>
          <w:sz w:val="24"/>
          <w:szCs w:val="24"/>
        </w:rPr>
        <w:t>Podpis osoby sporządzającej odpowiedź</w:t>
      </w:r>
    </w:p>
    <w:sectPr w:rsidR="00946708" w:rsidRPr="001475A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272F" w14:textId="77777777" w:rsidR="00FB76BB" w:rsidRDefault="00FB76BB" w:rsidP="00EF665E">
      <w:r>
        <w:separator/>
      </w:r>
    </w:p>
  </w:endnote>
  <w:endnote w:type="continuationSeparator" w:id="0">
    <w:p w14:paraId="2FE64F6B" w14:textId="77777777" w:rsidR="00FB76BB" w:rsidRDefault="00FB76BB" w:rsidP="00E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173A2" w14:textId="77777777" w:rsidR="00FB76BB" w:rsidRDefault="00FB76BB" w:rsidP="00EF665E">
      <w:r>
        <w:separator/>
      </w:r>
    </w:p>
  </w:footnote>
  <w:footnote w:type="continuationSeparator" w:id="0">
    <w:p w14:paraId="6DE38215" w14:textId="77777777" w:rsidR="00FB76BB" w:rsidRDefault="00FB76BB" w:rsidP="00EF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7F55"/>
    <w:multiLevelType w:val="hybridMultilevel"/>
    <w:tmpl w:val="C658D5BA"/>
    <w:lvl w:ilvl="0" w:tplc="6E203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5C8F2B69"/>
    <w:multiLevelType w:val="hybridMultilevel"/>
    <w:tmpl w:val="501A76C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4B"/>
    <w:rsid w:val="00000DEE"/>
    <w:rsid w:val="00061C56"/>
    <w:rsid w:val="00075F27"/>
    <w:rsid w:val="000A1C84"/>
    <w:rsid w:val="000A7873"/>
    <w:rsid w:val="000D3765"/>
    <w:rsid w:val="00121DD6"/>
    <w:rsid w:val="00127D01"/>
    <w:rsid w:val="001343D3"/>
    <w:rsid w:val="00143CE6"/>
    <w:rsid w:val="001475AB"/>
    <w:rsid w:val="00163AAE"/>
    <w:rsid w:val="00167EC9"/>
    <w:rsid w:val="001B31D7"/>
    <w:rsid w:val="00280A9D"/>
    <w:rsid w:val="002919D2"/>
    <w:rsid w:val="002B043F"/>
    <w:rsid w:val="002C2A80"/>
    <w:rsid w:val="002C316A"/>
    <w:rsid w:val="002D451B"/>
    <w:rsid w:val="002F34C9"/>
    <w:rsid w:val="003A5F58"/>
    <w:rsid w:val="003C312D"/>
    <w:rsid w:val="0048134B"/>
    <w:rsid w:val="004A5D93"/>
    <w:rsid w:val="004C4195"/>
    <w:rsid w:val="004E2539"/>
    <w:rsid w:val="0051150D"/>
    <w:rsid w:val="00531B04"/>
    <w:rsid w:val="00591FE8"/>
    <w:rsid w:val="005A26AD"/>
    <w:rsid w:val="005D7F66"/>
    <w:rsid w:val="005E3456"/>
    <w:rsid w:val="006249DB"/>
    <w:rsid w:val="006665C4"/>
    <w:rsid w:val="007916DF"/>
    <w:rsid w:val="00835F76"/>
    <w:rsid w:val="008731E8"/>
    <w:rsid w:val="008860F4"/>
    <w:rsid w:val="00890803"/>
    <w:rsid w:val="00916627"/>
    <w:rsid w:val="009215BD"/>
    <w:rsid w:val="00946708"/>
    <w:rsid w:val="00947100"/>
    <w:rsid w:val="0094728C"/>
    <w:rsid w:val="00995160"/>
    <w:rsid w:val="00A65FDB"/>
    <w:rsid w:val="00AA7363"/>
    <w:rsid w:val="00AB5F3B"/>
    <w:rsid w:val="00AC14AF"/>
    <w:rsid w:val="00AE0E40"/>
    <w:rsid w:val="00AF12AE"/>
    <w:rsid w:val="00AF43E8"/>
    <w:rsid w:val="00B02E91"/>
    <w:rsid w:val="00B249C6"/>
    <w:rsid w:val="00B53AFF"/>
    <w:rsid w:val="00B80538"/>
    <w:rsid w:val="00BA27E1"/>
    <w:rsid w:val="00BC6113"/>
    <w:rsid w:val="00CF1F82"/>
    <w:rsid w:val="00DD74D0"/>
    <w:rsid w:val="00E461E2"/>
    <w:rsid w:val="00EF19EF"/>
    <w:rsid w:val="00EF665E"/>
    <w:rsid w:val="00EF7984"/>
    <w:rsid w:val="00F22494"/>
    <w:rsid w:val="00F805F2"/>
    <w:rsid w:val="00F94603"/>
    <w:rsid w:val="00FA4FEE"/>
    <w:rsid w:val="00FB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8641"/>
  <w15:docId w15:val="{15E2952A-3CE2-4DDE-8931-94DD9E0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przypisukocowego">
    <w:name w:val="endnote text"/>
    <w:basedOn w:val="Normalny"/>
    <w:link w:val="TekstprzypisukocowegoZnak"/>
    <w:uiPriority w:val="99"/>
    <w:semiHidden/>
    <w:unhideWhenUsed/>
    <w:rsid w:val="00EF665E"/>
  </w:style>
  <w:style w:type="character" w:customStyle="1" w:styleId="TekstprzypisukocowegoZnak">
    <w:name w:val="Tekst przypisu końcowego Znak"/>
    <w:basedOn w:val="Domylnaczcionkaakapitu"/>
    <w:link w:val="Tekstprzypisukocowego"/>
    <w:uiPriority w:val="99"/>
    <w:semiHidden/>
    <w:rsid w:val="00EF665E"/>
  </w:style>
  <w:style w:type="character" w:styleId="Odwoanieprzypisukocowego">
    <w:name w:val="endnote reference"/>
    <w:uiPriority w:val="99"/>
    <w:semiHidden/>
    <w:unhideWhenUsed/>
    <w:rsid w:val="00EF665E"/>
    <w:rPr>
      <w:vertAlign w:val="superscript"/>
    </w:rPr>
  </w:style>
  <w:style w:type="paragraph" w:styleId="Akapitzlist">
    <w:name w:val="List Paragraph"/>
    <w:basedOn w:val="Normalny"/>
    <w:uiPriority w:val="34"/>
    <w:qFormat/>
    <w:rsid w:val="00EF665E"/>
    <w:pPr>
      <w:ind w:left="708"/>
    </w:pPr>
  </w:style>
  <w:style w:type="table" w:styleId="Tabela-Siatka">
    <w:name w:val="Table Grid"/>
    <w:basedOn w:val="Standardowy"/>
    <w:uiPriority w:val="59"/>
    <w:rsid w:val="0028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5F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5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575</Words>
  <Characters>3947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Are You suprised ?</vt:lpstr>
    </vt:vector>
  </TitlesOfParts>
  <Company>BIURO RADY MIEJSKIEJ</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Wnuk Anna</cp:lastModifiedBy>
  <cp:revision>5</cp:revision>
  <cp:lastPrinted>2020-12-31T09:02:00Z</cp:lastPrinted>
  <dcterms:created xsi:type="dcterms:W3CDTF">2020-12-29T14:31:00Z</dcterms:created>
  <dcterms:modified xsi:type="dcterms:W3CDTF">2020-12-31T12:34:00Z</dcterms:modified>
</cp:coreProperties>
</file>